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sz w:val="44"/>
          <w:szCs w:val="44"/>
          <w:lang w:val="en-US" w:eastAsia="zh-CN"/>
        </w:rPr>
      </w:pPr>
    </w:p>
    <w:p>
      <w:pPr>
        <w:snapToGrid w:val="0"/>
        <w:jc w:val="center"/>
        <w:rPr>
          <w:rFonts w:hint="eastAsia" w:ascii="黑体" w:hAnsi="黑体" w:eastAsia="方正黑体_GBK" w:cs="黑体"/>
          <w:sz w:val="44"/>
          <w:szCs w:val="44"/>
          <w:lang w:eastAsia="zh-CN"/>
        </w:rPr>
      </w:pPr>
      <w:r>
        <w:rPr>
          <w:rFonts w:hint="eastAsia" w:ascii="黑体" w:hAnsi="黑体" w:eastAsia="方正黑体_GBK" w:cs="黑体"/>
          <w:sz w:val="44"/>
          <w:szCs w:val="44"/>
          <w:lang w:val="en-US" w:eastAsia="zh-CN"/>
        </w:rPr>
        <w:t>2023年度</w:t>
      </w:r>
      <w:r>
        <w:rPr>
          <w:rFonts w:hint="eastAsia" w:ascii="黑体" w:hAnsi="黑体" w:eastAsia="方正黑体_GBK" w:cs="黑体"/>
          <w:sz w:val="44"/>
          <w:szCs w:val="44"/>
          <w:lang w:eastAsia="zh-CN"/>
        </w:rPr>
        <w:t>中级会计专业技术资格考试大纲</w:t>
      </w:r>
    </w:p>
    <w:p>
      <w:pPr>
        <w:keepNext w:val="0"/>
        <w:keepLines w:val="0"/>
        <w:widowControl/>
        <w:suppressLineNumbers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（包括《中级会计实务》、《财务管理》、《经济法》）</w:t>
      </w:r>
    </w:p>
    <w:p>
      <w:pPr>
        <w:widowControl/>
        <w:spacing w:line="360" w:lineRule="auto"/>
        <w:jc w:val="center"/>
        <w:rPr>
          <w:rFonts w:hint="eastAsia" w:ascii="黑体" w:hAnsi="黑体" w:eastAsia="黑体" w:cs="黑体"/>
          <w:kern w:val="0"/>
          <w:sz w:val="44"/>
          <w:szCs w:val="44"/>
          <w:lang w:bidi="ar"/>
        </w:rPr>
      </w:pPr>
    </w:p>
    <w:p>
      <w:pPr>
        <w:widowControl/>
        <w:spacing w:line="360" w:lineRule="auto"/>
        <w:jc w:val="center"/>
        <w:rPr>
          <w:rFonts w:ascii="Times New Roman" w:hAnsi="Times New Roman" w:eastAsia="方正黑体_GBK"/>
          <w:sz w:val="44"/>
          <w:szCs w:val="44"/>
        </w:rPr>
      </w:pPr>
      <w:r>
        <w:rPr>
          <w:rFonts w:hint="eastAsia" w:ascii="黑体" w:hAnsi="黑体" w:eastAsia="方正黑体_GBK" w:cs="黑体"/>
          <w:kern w:val="0"/>
          <w:sz w:val="44"/>
          <w:szCs w:val="44"/>
          <w:lang w:bidi="ar"/>
        </w:rPr>
        <w:t>《中级会计实务》考试大纲</w:t>
      </w:r>
    </w:p>
    <w:p>
      <w:pPr>
        <w:spacing w:line="360" w:lineRule="auto"/>
        <w:jc w:val="center"/>
        <w:rPr>
          <w:rFonts w:ascii="Times New Roman" w:hAnsi="Times New Roman" w:eastAsia="黑体"/>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lang w:val="en-US" w:eastAsia="zh-CN"/>
        </w:rPr>
        <w:t>2023年度考试大纲主要作了以下调整</w:t>
      </w:r>
      <w:r>
        <w:rPr>
          <w:rFonts w:hint="eastAsia" w:ascii="仿宋_GB2312" w:hAnsi="仿宋_GB2312" w:eastAsia="仿宋_GB2312" w:cs="仿宋_GB2312"/>
          <w:sz w:val="32"/>
          <w:szCs w:val="32"/>
        </w:rPr>
        <w:t>：增加了第一章概述，包括会计职业道德概述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会计</w:t>
      </w:r>
      <w:r>
        <w:rPr>
          <w:rFonts w:hint="eastAsia" w:ascii="仿宋_GB2312" w:hAnsi="仿宋_GB2312" w:eastAsia="仿宋_GB2312" w:cs="仿宋_GB2312"/>
          <w:sz w:val="32"/>
          <w:szCs w:val="32"/>
          <w:lang w:eastAsia="zh-CN"/>
        </w:rPr>
        <w:t>目标、会计要素和会计信息质量要求，</w:t>
      </w:r>
      <w:r>
        <w:rPr>
          <w:rFonts w:hint="eastAsia" w:ascii="仿宋_GB2312" w:hAnsi="仿宋_GB2312" w:eastAsia="仿宋_GB2312" w:cs="仿宋_GB2312"/>
          <w:sz w:val="32"/>
          <w:szCs w:val="32"/>
        </w:rPr>
        <w:t>会计法规制度体系概述</w:t>
      </w:r>
      <w:r>
        <w:rPr>
          <w:rFonts w:hint="eastAsia" w:ascii="仿宋_GB2312" w:hAnsi="仿宋_GB2312" w:eastAsia="仿宋_GB2312" w:cs="仿宋_GB2312"/>
          <w:sz w:val="32"/>
          <w:szCs w:val="32"/>
          <w:lang w:eastAsia="zh-CN"/>
        </w:rPr>
        <w:t>；第八章中</w:t>
      </w:r>
      <w:r>
        <w:rPr>
          <w:rFonts w:hint="eastAsia" w:ascii="仿宋_GB2312" w:hAnsi="仿宋_GB2312" w:eastAsia="仿宋_GB2312" w:cs="仿宋_GB2312"/>
          <w:sz w:val="32"/>
          <w:szCs w:val="32"/>
        </w:rPr>
        <w:t>补充了金融工具减值的会计处理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将“职工薪酬和借款费用”一章内容调整为两章</w:t>
      </w:r>
      <w:r>
        <w:rPr>
          <w:rFonts w:hint="eastAsia" w:ascii="仿宋_GB2312" w:hAnsi="仿宋_GB2312" w:eastAsia="仿宋_GB2312" w:cs="仿宋_GB2312"/>
          <w:sz w:val="32"/>
          <w:szCs w:val="32"/>
          <w:lang w:eastAsia="zh-CN"/>
        </w:rPr>
        <w:t>，分别是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第九章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职工薪酬”和“</w:t>
      </w:r>
      <w:r>
        <w:rPr>
          <w:rFonts w:hint="eastAsia" w:ascii="仿宋_GB2312" w:hAnsi="仿宋_GB2312" w:eastAsia="仿宋_GB2312" w:cs="仿宋_GB2312"/>
          <w:sz w:val="32"/>
          <w:szCs w:val="32"/>
          <w:lang w:eastAsia="zh-CN"/>
        </w:rPr>
        <w:t>第十章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借款费用”。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科目各章考试内容中，掌握的内容，要求应试人员对相关知识点能够全面、系统掌握，并能够分析、判断和处理实务中相关的问题；熟悉的内容，要求应试人员对相关知识点能够准确理解，并能够解决和处理实务中相关的问题；了解的内容，要求应试人员对相关知识点能够一般性理解。</w:t>
      </w:r>
    </w:p>
    <w:p>
      <w:pPr>
        <w:snapToGrid w:val="0"/>
        <w:rPr>
          <w:rFonts w:ascii="仿宋_GB2312" w:hAnsi="仿宋_GB2312" w:eastAsia="仿宋_GB2312" w:cs="仿宋_GB2312"/>
          <w:b/>
          <w:bCs/>
          <w:sz w:val="32"/>
          <w:szCs w:val="32"/>
        </w:rPr>
      </w:pPr>
    </w:p>
    <w:p>
      <w:pPr>
        <w:ind w:firstLine="640" w:firstLineChars="200"/>
        <w:jc w:val="center"/>
        <w:rPr>
          <w:rFonts w:ascii="仿宋_GB2312" w:hAnsi="仿宋_GB2312" w:eastAsia="仿宋_GB2312" w:cs="仿宋_GB2312"/>
          <w:sz w:val="32"/>
          <w:szCs w:val="32"/>
          <w:lang w:val="en"/>
        </w:rPr>
      </w:pPr>
      <w:r>
        <w:rPr>
          <w:rFonts w:hint="eastAsia" w:ascii="黑体" w:hAnsi="黑体" w:eastAsia="黑体" w:cs="黑体"/>
          <w:sz w:val="32"/>
          <w:szCs w:val="32"/>
        </w:rPr>
        <w:t>第一章 概述</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1.会计职业道德概述。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2.会计</w:t>
      </w:r>
      <w:r>
        <w:rPr>
          <w:rFonts w:hint="eastAsia" w:ascii="仿宋_GB2312" w:hAnsi="仿宋_GB2312" w:eastAsia="仿宋_GB2312" w:cs="仿宋_GB2312"/>
          <w:sz w:val="32"/>
          <w:szCs w:val="32"/>
          <w:lang w:eastAsia="zh-CN"/>
        </w:rPr>
        <w:t>目标、会计要素和会计信息质量要求</w:t>
      </w:r>
      <w:r>
        <w:rPr>
          <w:rFonts w:hint="eastAsia" w:ascii="仿宋_GB2312" w:hAnsi="仿宋_GB2312" w:eastAsia="仿宋_GB2312" w:cs="仿宋_GB2312"/>
          <w:sz w:val="32"/>
          <w:szCs w:val="32"/>
        </w:rPr>
        <w:t>。</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1.会计法规制度体系概述。</w:t>
      </w:r>
    </w:p>
    <w:p>
      <w:pPr>
        <w:rPr>
          <w:rFonts w:ascii="仿宋_GB2312" w:hAnsi="仿宋_GB2312" w:eastAsia="仿宋_GB2312" w:cs="仿宋_GB2312"/>
          <w:b/>
          <w:bCs/>
          <w:sz w:val="32"/>
          <w:szCs w:val="32"/>
        </w:rPr>
      </w:pPr>
    </w:p>
    <w:p>
      <w:pPr>
        <w:spacing w:line="360" w:lineRule="auto"/>
        <w:ind w:firstLine="640"/>
        <w:jc w:val="center"/>
        <w:rPr>
          <w:rFonts w:ascii="黑体" w:hAnsi="黑体" w:eastAsia="黑体" w:cs="黑体"/>
          <w:sz w:val="32"/>
          <w:szCs w:val="32"/>
        </w:rPr>
      </w:pPr>
      <w:r>
        <w:rPr>
          <w:rFonts w:hint="eastAsia" w:ascii="黑体" w:hAnsi="黑体" w:eastAsia="黑体" w:cs="黑体"/>
          <w:sz w:val="32"/>
          <w:szCs w:val="32"/>
        </w:rPr>
        <w:t>第二章 存货</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1.存货的确认。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2.存货的初始计量。</w:t>
      </w:r>
    </w:p>
    <w:p>
      <w:pPr>
        <w:spacing w:line="360" w:lineRule="auto"/>
        <w:ind w:firstLine="64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3.存货期末计量原则。</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4.存货</w:t>
      </w:r>
      <w:r>
        <w:rPr>
          <w:rFonts w:ascii="仿宋_GB2312" w:hAnsi="仿宋_GB2312" w:eastAsia="仿宋_GB2312" w:cs="仿宋_GB2312"/>
          <w:sz w:val="32"/>
          <w:szCs w:val="32"/>
        </w:rPr>
        <w:t>可变现净值的确定</w:t>
      </w:r>
      <w:r>
        <w:rPr>
          <w:rFonts w:hint="eastAsia" w:ascii="仿宋_GB2312" w:hAnsi="仿宋_GB2312" w:eastAsia="仿宋_GB2312" w:cs="仿宋_GB2312"/>
          <w:sz w:val="32"/>
          <w:szCs w:val="32"/>
        </w:rPr>
        <w:t>。</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存货跌价准备的计提与转回</w:t>
      </w:r>
      <w:r>
        <w:rPr>
          <w:rFonts w:hint="eastAsia" w:ascii="仿宋_GB2312" w:hAnsi="仿宋_GB2312" w:eastAsia="仿宋_GB2312" w:cs="仿宋_GB2312"/>
          <w:sz w:val="32"/>
          <w:szCs w:val="32"/>
        </w:rPr>
        <w:t>。</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存货减值迹象的判断</w:t>
      </w:r>
      <w:r>
        <w:rPr>
          <w:rFonts w:hint="eastAsia" w:ascii="仿宋_GB2312" w:hAnsi="仿宋_GB2312" w:eastAsia="仿宋_GB2312" w:cs="仿宋_GB2312"/>
          <w:sz w:val="32"/>
          <w:szCs w:val="32"/>
        </w:rPr>
        <w:t>。</w:t>
      </w:r>
    </w:p>
    <w:p>
      <w:pPr>
        <w:spacing w:line="360" w:lineRule="auto"/>
        <w:ind w:firstLine="640"/>
        <w:jc w:val="left"/>
        <w:rPr>
          <w:rFonts w:ascii="仿宋_GB2312" w:hAnsi="仿宋_GB2312" w:eastAsia="仿宋_GB2312" w:cs="仿宋_GB2312"/>
          <w:b/>
          <w:bCs/>
          <w:sz w:val="32"/>
          <w:szCs w:val="32"/>
        </w:rPr>
      </w:pPr>
    </w:p>
    <w:p>
      <w:pPr>
        <w:spacing w:line="360" w:lineRule="auto"/>
        <w:ind w:firstLine="640"/>
        <w:jc w:val="center"/>
        <w:rPr>
          <w:rFonts w:ascii="黑体" w:hAnsi="黑体" w:eastAsia="黑体" w:cs="黑体"/>
          <w:sz w:val="32"/>
          <w:szCs w:val="32"/>
        </w:rPr>
      </w:pPr>
      <w:r>
        <w:rPr>
          <w:rFonts w:hint="eastAsia" w:ascii="黑体" w:hAnsi="黑体" w:eastAsia="黑体" w:cs="黑体"/>
          <w:sz w:val="32"/>
          <w:szCs w:val="32"/>
        </w:rPr>
        <w:t>第三章  固定资产</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1.固定资产的确认。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2.固定资产的初始计量。</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.固定资产折旧的会计处理。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4.固定资产处置的会计处理。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1.固定资产后续支出的会计处理。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固定资产</w:t>
      </w:r>
      <w:r>
        <w:rPr>
          <w:rFonts w:hint="eastAsia" w:ascii="仿宋_GB2312" w:hAnsi="仿宋_GB2312" w:eastAsia="仿宋_GB2312" w:cs="仿宋_GB2312"/>
          <w:sz w:val="32"/>
          <w:szCs w:val="32"/>
        </w:rPr>
        <w:t>终止</w:t>
      </w:r>
      <w:r>
        <w:rPr>
          <w:rFonts w:ascii="仿宋_GB2312" w:hAnsi="仿宋_GB2312" w:eastAsia="仿宋_GB2312" w:cs="仿宋_GB2312"/>
          <w:sz w:val="32"/>
          <w:szCs w:val="32"/>
        </w:rPr>
        <w:t>确认</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条件</w:t>
      </w:r>
      <w:r>
        <w:rPr>
          <w:rFonts w:hint="eastAsia" w:ascii="仿宋_GB2312" w:hAnsi="仿宋_GB2312" w:eastAsia="仿宋_GB2312" w:cs="仿宋_GB2312"/>
          <w:sz w:val="32"/>
          <w:szCs w:val="32"/>
        </w:rPr>
        <w:t>。</w:t>
      </w:r>
    </w:p>
    <w:p>
      <w:pPr>
        <w:spacing w:line="360" w:lineRule="auto"/>
        <w:ind w:firstLine="420" w:firstLineChars="200"/>
        <w:rPr>
          <w:rFonts w:ascii="Times New Roman" w:hAnsi="Times New Roman"/>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第四章  无形资产</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1.无形资产的确认条件。</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2.无形资产的初始计量。</w:t>
      </w:r>
    </w:p>
    <w:p>
      <w:pPr>
        <w:pStyle w:val="3"/>
        <w:spacing w:line="360" w:lineRule="auto"/>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.内部研究开发项目研究阶段和开发阶段的区分。</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.内部研究开发支出的会计处理。</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.使用寿命有限的无形资产摊销的会计处理。</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.无形资产处置的会计处理。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1.无形资产使用寿命的确定。</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2.使用寿命不确定的无形资产的后续计量。</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1.无形资产的概念和特征。</w:t>
      </w:r>
    </w:p>
    <w:p>
      <w:pPr>
        <w:spacing w:line="360" w:lineRule="auto"/>
        <w:ind w:firstLine="420" w:firstLineChars="200"/>
        <w:rPr>
          <w:rFonts w:ascii="仿宋" w:hAnsi="仿宋" w:eastAsia="仿宋" w:cs="仿宋"/>
          <w:lang w:bidi="ar"/>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第五章 长期股权投资和合营安排</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1.长期股权投资的初始计量。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2.长期股权投资成本法核算。</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3.长期股权投资权益法核算。</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长期股权投资核算方法转换的会计处理。</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.合营安排的认定及分类。</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.共同经营中合营方的会计处理。</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1.长期股权投资的范围。</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2.长期股权投资处置的会计处理。</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.共同经营中不享有共同控制的参与方的会计处理。</w:t>
      </w:r>
    </w:p>
    <w:p>
      <w:pPr>
        <w:pStyle w:val="3"/>
        <w:spacing w:line="360" w:lineRule="auto"/>
        <w:ind w:firstLine="640" w:firstLineChars="200"/>
        <w:jc w:val="center"/>
        <w:rPr>
          <w:rFonts w:hint="eastAsia" w:ascii="黑体" w:hAnsi="黑体" w:eastAsia="黑体" w:cs="黑体"/>
          <w:sz w:val="32"/>
          <w:szCs w:val="32"/>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第六章 投资性房地产</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1.投资性房地产的范围。</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2.投资性房地产的确认条件。</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3.投资性房地产的初始计量。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4.投资性房地产的后续计量模式。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5.投资性房地产转换的会计处理。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6.投资性房地产处置的会计处理。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1.投资性房地产后续支出的会计处理。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1.投资性房地产的概念和特征。</w:t>
      </w:r>
    </w:p>
    <w:p>
      <w:pPr>
        <w:spacing w:line="360" w:lineRule="auto"/>
        <w:rPr>
          <w:rFonts w:ascii="仿宋" w:hAnsi="仿宋" w:eastAsia="仿宋" w:cs="仿宋"/>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第七章  资产减值</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1.资产可收回金额计量的基本要求。</w:t>
      </w:r>
    </w:p>
    <w:p>
      <w:pPr>
        <w:pStyle w:val="3"/>
        <w:spacing w:line="360" w:lineRule="auto"/>
        <w:ind w:firstLine="640" w:firstLineChars="200"/>
        <w:rPr>
          <w:rFonts w:ascii="黑体" w:hAnsi="黑体" w:eastAsia="黑体" w:cs="黑体"/>
          <w:b/>
          <w:bCs/>
        </w:rPr>
      </w:pPr>
      <w:r>
        <w:rPr>
          <w:rFonts w:hint="eastAsia" w:ascii="仿宋_GB2312" w:hAnsi="仿宋_GB2312" w:eastAsia="仿宋_GB2312" w:cs="仿宋_GB2312"/>
          <w:sz w:val="32"/>
          <w:szCs w:val="32"/>
        </w:rPr>
        <w:t>2.资产的公允价值减去处置费用后净额的确定。</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3.资产预计未来现金流量现值的确定。</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4.资产减值损失的确定及账务处理。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1.资产减值迹象的判断。</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2.资产组的认定及其减值的会计处理。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1.资产减值的概念及其范围。</w:t>
      </w:r>
    </w:p>
    <w:p>
      <w:pPr>
        <w:pStyle w:val="3"/>
        <w:spacing w:line="360" w:lineRule="auto"/>
        <w:rPr>
          <w:rFonts w:ascii="仿宋_GB2312" w:hAnsi="仿宋_GB2312" w:eastAsia="仿宋_GB2312" w:cs="仿宋_GB2312"/>
          <w:sz w:val="32"/>
          <w:szCs w:val="32"/>
        </w:rPr>
      </w:pPr>
    </w:p>
    <w:p>
      <w:pPr>
        <w:pStyle w:val="3"/>
        <w:spacing w:line="360" w:lineRule="auto"/>
        <w:ind w:firstLine="640" w:firstLineChars="200"/>
        <w:jc w:val="center"/>
        <w:rPr>
          <w:rFonts w:ascii="黑体" w:hAnsi="黑体" w:eastAsia="黑体" w:cs="黑体"/>
          <w:sz w:val="32"/>
          <w:szCs w:val="32"/>
          <w:highlight w:val="red"/>
        </w:rPr>
      </w:pPr>
      <w:r>
        <w:rPr>
          <w:rFonts w:hint="eastAsia" w:ascii="黑体" w:hAnsi="黑体" w:eastAsia="黑体" w:cs="黑体"/>
          <w:sz w:val="32"/>
          <w:szCs w:val="32"/>
        </w:rPr>
        <w:t>第八章 金融资产和金融负债</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1.金融资产的分类</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2.金融负债的分类。</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3.金融资产和金融负债的初始计量。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4.金融资产和金融负债的后续计量。</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.金融工具减值的会计处理。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1.金融资产重分类的会计处理。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2.金融资产和金融负债的确认及终止确认条件。</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1.金融工具的概念。</w:t>
      </w:r>
    </w:p>
    <w:p>
      <w:pPr>
        <w:spacing w:line="360" w:lineRule="auto"/>
        <w:jc w:val="center"/>
        <w:rPr>
          <w:rFonts w:ascii="黑体" w:hAnsi="黑体" w:eastAsia="黑体" w:cs="黑体"/>
          <w:sz w:val="32"/>
          <w:szCs w:val="32"/>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第九章 职工薪酬</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1.短期薪酬的确认和计量。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2.离职后福利的确认和计量。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3.辞退福利的确认和计量。</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1.职工薪酬的概念和内容。</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1.其他长期职工福利的会计处理。</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第十章 借款费用</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1.借款费用的确认原则。</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2.借款费用资本化期间的确定。</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3.借款利息资本化金额的确定。</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1.借款费用应予资本化的借款范围。</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借款辅助费用资本化金额的确定</w:t>
      </w:r>
      <w:r>
        <w:rPr>
          <w:rFonts w:hint="eastAsia" w:ascii="仿宋_GB2312" w:hAnsi="仿宋_GB2312" w:eastAsia="仿宋_GB2312" w:cs="仿宋_GB2312"/>
          <w:sz w:val="32"/>
          <w:szCs w:val="32"/>
        </w:rPr>
        <w:t>。</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外币专门借款汇兑差额资本化金额的确定。</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1.借款费用的范围。</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第十一章  或有事项</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1.或有事项的确认。</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2.或有事项的计量原则。</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3.未决诉讼、未决仲裁、产品质量保证和亏损合同形成的或有事项的会计处理。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1.或有事项的概念及其特征。</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2.常见的或有事项。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3.或有负债和或有资产的概念。</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4.债务担保和重组形成的或有事项的会计处理。</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第十二章  收  入</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1.收入确认的原则。</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2.合同中单项履约义务的识别。</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3.交易价格的确定及分摊。</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4.在某一时段内履行的履约义务的收入确认。</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5.在某一时点履行的履约义务的收入确认。</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6.合同成本的会计处理。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7.附有销售退回条款的销售、附有质量保证条款的销售、主要责任人和代理人、附有客户额外购买选择权的销售以及授予知识产权许可、售后回购、客户未行使的权利、无需退回的初始费等特定交易的会计处理。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1.与客户订立的合同的识别。</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1.收入的概念。</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第十三章  政府补助</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1.政府补助的特征和分类。</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2.政府补助的会计处理方法。</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3.与资产相关的政府补助的会计处理。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4.与收益相关的政府补助的会计处理。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1.综合性项目政府补助的会计处理。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2.政府补助退回的会计处理。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1.政府补助的定义及主要形式。</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章  非货币性资产交换</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1.非货币性资产交换的认定。</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2.非货币性资产交换的确认和计量原则。</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3.非货币性资产交换具有商业实质的判断。</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4.不涉及补价情况下的非货币性资产交换的会计处理。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5.涉及补价情况下的非货币性资产交换的会计处理。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1.涉及多项资产的非货币性资产交换的会计处理。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1.非货币性资产交换的概念。</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第十五章 债务重组</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1.债务重组中债权和债务终止确认的条件。</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2.债务重组中债权人的会计处理。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3.债务重组中债务人的会计处理。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1.债务重组的定义和方式。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2.构成权益性交易的债务重组的判断。</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第十六章 所得税</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1.所得税会计核算的基本原理和程序。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2.资产和负债计税基础的确定。</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3.暂时性差异的分类。</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4.递延所得税负债和递延所得税资产的确认与计量。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5.所得税费用的确认和计量。</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1.特定交易或事项涉及递延所得税的确认。</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2.合并财务报表中因抵销未实现内部交易损益产生的递延所得税的会计处理。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1.所得税税率变化对递延所得税资产和递延所得税负债影响的确认与计量。</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第十七章 外币折算</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1.外币交易发生日的会计处理。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2.资产负债表日或结算日外币交易的会计处理。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3.外币财务报表的折算方法。</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1.记账本位币的确定。</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2.境外经营处置的会计处理。</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第十八章 租赁</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1.租赁的识别。</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2.租赁期的确定。</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3.承租人的会计处理（租赁负债的确认和计量、使用权资产的确认和计量、短期租赁和低价值租赁的会计处理）。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4.出租人的会计处理（经营租赁和融资租赁的区分、出租人对经营租赁的会计处理、出租人对融资租赁的会计处理）。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1.租赁的分拆和合并。</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2.承租人关于租赁变更的会计处理。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3.转租赁、生产商或经销商出租人的融资租赁、售后租回等特殊租赁业务的会计处理。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1.租赁的定义。</w:t>
      </w:r>
    </w:p>
    <w:p>
      <w:pPr>
        <w:pStyle w:val="3"/>
        <w:spacing w:line="360" w:lineRule="auto"/>
        <w:ind w:firstLine="640" w:firstLineChars="200"/>
        <w:jc w:val="center"/>
        <w:rPr>
          <w:rFonts w:hint="eastAsia" w:ascii="黑体" w:hAnsi="黑体" w:eastAsia="黑体" w:cs="黑体"/>
          <w:sz w:val="32"/>
          <w:szCs w:val="32"/>
        </w:rPr>
      </w:pPr>
    </w:p>
    <w:p>
      <w:pPr>
        <w:pStyle w:val="3"/>
        <w:spacing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第十九章  持有待售的非流动资产、处置组和终止经营</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1.处置组的定义。</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2.持有待售的非流动资产或处置组的分类。</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3.持有待售的非流动资产或处置组的计量。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4.终止经营的定义及判断。</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1.持有待售类别和终止经营的列报要求。</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第二十章 企业合并</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1.企业合并的定义和范围。</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2.同一控制下企业合并的会计处理。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3.非同一控制下企业合并的会计处理。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1.企业合并的方式和类型。</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第二十一章 财务报告</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.合并财务报表的概念、构成和合并范围的确定原则。</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.合并资产负债表的内容、格式和编制方法。</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.合并利润表的内容、格式和编制方法。</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.合并所有者权益变动表的内容、格式和编制方法。</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.合并现金流量表的内容、格式和编制方法。</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1.财务报告的概念和内容。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2.财务报表的概念、构成、分类和列报的基本要求。</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3.编制合并财务报表的原则和一般程序。</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.编制合并财务报表的前期准备事项。</w:t>
      </w:r>
    </w:p>
    <w:p>
      <w:pPr>
        <w:pStyle w:val="3"/>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.合并财务报表附注的主要披露内容。</w:t>
      </w:r>
    </w:p>
    <w:p>
      <w:pPr>
        <w:pStyle w:val="3"/>
        <w:spacing w:line="360" w:lineRule="auto"/>
        <w:ind w:firstLine="642" w:firstLineChars="200"/>
        <w:rPr>
          <w:rFonts w:ascii="仿宋_GB2312" w:hAnsi="仿宋_GB2312" w:eastAsia="仿宋_GB2312" w:cs="仿宋_GB2312"/>
          <w:b/>
          <w:bCs/>
          <w:sz w:val="32"/>
          <w:szCs w:val="32"/>
        </w:rPr>
      </w:pPr>
    </w:p>
    <w:p>
      <w:pPr>
        <w:pStyle w:val="3"/>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第二十二章  会计政策、会计估计变更和差错更正</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1.追溯调整法、追溯重述法和未来适用法的概念及应用。</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2.会计政策变更的会计处理。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3.会计估计变更的会计处理。</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4.前期差错更正的会计处理。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1.会计政策的概念及会计政策变更的条件。</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2.会计估计的概念及会计估计变更的原因。</w:t>
      </w:r>
    </w:p>
    <w:p>
      <w:pPr>
        <w:spacing w:line="360" w:lineRule="auto"/>
        <w:ind w:firstLine="640" w:firstLineChars="200"/>
        <w:rPr>
          <w:rFonts w:ascii="仿宋" w:hAnsi="仿宋" w:eastAsia="仿宋"/>
        </w:rPr>
      </w:pPr>
      <w:r>
        <w:rPr>
          <w:rFonts w:hint="eastAsia" w:ascii="仿宋_GB2312" w:hAnsi="仿宋_GB2312" w:eastAsia="仿宋_GB2312" w:cs="仿宋_GB2312"/>
          <w:sz w:val="32"/>
          <w:szCs w:val="32"/>
        </w:rPr>
        <w:t>3.前期差错的概念及主要情形。</w:t>
      </w:r>
    </w:p>
    <w:p>
      <w:pPr>
        <w:spacing w:line="360" w:lineRule="auto"/>
        <w:ind w:firstLine="420" w:firstLineChars="200"/>
        <w:rPr>
          <w:rFonts w:ascii="宋体" w:hAnsi="宋体"/>
          <w:szCs w:val="21"/>
        </w:rPr>
      </w:pPr>
    </w:p>
    <w:p>
      <w:pPr>
        <w:pStyle w:val="3"/>
        <w:spacing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第二十三章 资产负债表日后事项</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1.资产负债表日后事项的概念及涵盖的期间。</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2.资产负债表日后事项的内容。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3.资产负债表日后调整事项的会计处理。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1.资产负债表日后非调整事项的会计处理原则和方法。</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第二十四章  公允价值计量</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1.公允价值计量的总体要求。</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2.公允价值计量基本概念（相关资产或负债、有序交易、主要市场或最有利市场、市场参与者、公允价值初始计量、估值技术、输入值、公允价值层次等）及一般应用。</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1.公允价值的定义。</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2.非金融资产、负债以及企业自身权益工具的公允价值计量。</w:t>
      </w:r>
    </w:p>
    <w:p>
      <w:pPr>
        <w:pStyle w:val="3"/>
        <w:spacing w:line="360" w:lineRule="auto"/>
        <w:ind w:firstLine="640" w:firstLineChars="200"/>
        <w:rPr>
          <w:rFonts w:ascii="仿宋_GB2312" w:hAnsi="仿宋_GB2312" w:eastAsia="仿宋_GB2312" w:cs="仿宋_GB2312"/>
          <w:sz w:val="32"/>
          <w:szCs w:val="32"/>
        </w:rPr>
      </w:pPr>
    </w:p>
    <w:p>
      <w:pPr>
        <w:pStyle w:val="3"/>
        <w:spacing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第二十五章 政府会计</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1.政府会计核算模式。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2.政府会计要素及其确认和计量。</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3.政府单位财政拨款收支业务、非财政拨款收支业务、预算结转结余及分配业务、净资产业务、受托代理业务和部分重要资产、负债等特定业务的会计处理。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1.政府单位会计核算的基本特点。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2.政府决算报告和财务报告的内容。</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1.部门（单位）合并财务报表的编制。</w:t>
      </w:r>
    </w:p>
    <w:p>
      <w:pPr>
        <w:pStyle w:val="3"/>
        <w:spacing w:line="360" w:lineRule="auto"/>
        <w:ind w:firstLine="642" w:firstLineChars="200"/>
        <w:rPr>
          <w:rFonts w:ascii="仿宋_GB2312" w:hAnsi="仿宋_GB2312" w:eastAsia="仿宋_GB2312" w:cs="仿宋_GB2312"/>
          <w:b/>
          <w:bCs/>
          <w:sz w:val="32"/>
          <w:szCs w:val="32"/>
        </w:rPr>
      </w:pPr>
    </w:p>
    <w:p>
      <w:pPr>
        <w:pStyle w:val="3"/>
        <w:spacing w:line="360" w:lineRule="auto"/>
        <w:ind w:firstLine="640" w:firstLineChars="200"/>
        <w:jc w:val="center"/>
        <w:rPr>
          <w:rFonts w:ascii="仿宋_GB2312" w:hAnsi="仿宋_GB2312" w:eastAsia="仿宋_GB2312" w:cs="仿宋_GB2312"/>
          <w:b/>
          <w:bCs/>
          <w:sz w:val="32"/>
          <w:szCs w:val="32"/>
        </w:rPr>
      </w:pPr>
      <w:r>
        <w:rPr>
          <w:rFonts w:hint="eastAsia" w:ascii="黑体" w:hAnsi="黑体" w:eastAsia="黑体" w:cs="黑体"/>
          <w:sz w:val="32"/>
          <w:szCs w:val="32"/>
        </w:rPr>
        <w:t>第二十六章 民间非营利组织会计</w:t>
      </w:r>
    </w:p>
    <w:p>
      <w:pPr>
        <w:pStyle w:val="3"/>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1.民间非营利组织</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会计要素。</w:t>
      </w:r>
    </w:p>
    <w:p>
      <w:pPr>
        <w:pStyle w:val="3"/>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2.民间非营利组织受托代理业务、捐赠收入、业务活动成本、净资产等特定业务的会计处理。</w:t>
      </w:r>
    </w:p>
    <w:p>
      <w:pPr>
        <w:pStyle w:val="3"/>
        <w:spacing w:line="360" w:lineRule="auto"/>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1.民间非营利组织的概念和特征。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2.民间非营利组织会计的特点。</w:t>
      </w:r>
    </w:p>
    <w:p>
      <w:pPr>
        <w:ind w:firstLine="640" w:firstLineChars="200"/>
      </w:pPr>
      <w:r>
        <w:rPr>
          <w:rFonts w:hint="eastAsia" w:ascii="仿宋_GB2312" w:hAnsi="仿宋_GB2312" w:eastAsia="仿宋_GB2312" w:cs="仿宋_GB2312"/>
          <w:sz w:val="32"/>
          <w:szCs w:val="32"/>
        </w:rPr>
        <w:t>3.民间非营利组织财务会计报告的内容。</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黑体" w:hAnsi="黑体" w:eastAsia="黑体" w:cs="黑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黑体" w:hAnsi="黑体" w:eastAsia="黑体" w:cs="黑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b w:val="0"/>
          <w:bCs/>
          <w:sz w:val="44"/>
          <w:szCs w:val="44"/>
          <w:lang w:eastAsia="zh-CN"/>
        </w:rPr>
      </w:pPr>
    </w:p>
    <w:p>
      <w:pPr>
        <w:pStyle w:val="2"/>
        <w:spacing w:before="0" w:after="0" w:line="360" w:lineRule="auto"/>
        <w:jc w:val="center"/>
        <w:rPr>
          <w:rFonts w:hint="eastAsia" w:ascii="黑体" w:hAnsi="黑体" w:eastAsia="方正黑体_GBK" w:cs="黑体"/>
          <w:b w:val="0"/>
          <w:bCs w:val="0"/>
          <w:sz w:val="44"/>
          <w:szCs w:val="44"/>
        </w:rPr>
      </w:pPr>
      <w:r>
        <w:rPr>
          <w:rFonts w:hint="eastAsia" w:ascii="黑体" w:hAnsi="黑体" w:eastAsia="方正黑体_GBK" w:cs="黑体"/>
          <w:b w:val="0"/>
          <w:bCs w:val="0"/>
          <w:sz w:val="44"/>
          <w:szCs w:val="44"/>
        </w:rPr>
        <w:t>《</w:t>
      </w:r>
      <w:r>
        <w:rPr>
          <w:rFonts w:hint="eastAsia" w:ascii="黑体" w:hAnsi="黑体" w:eastAsia="方正黑体_GBK" w:cs="黑体"/>
          <w:b w:val="0"/>
          <w:bCs w:val="0"/>
          <w:sz w:val="44"/>
          <w:szCs w:val="44"/>
          <w:lang w:val="en-US" w:eastAsia="zh-CN"/>
        </w:rPr>
        <w:t>财务管理</w:t>
      </w:r>
      <w:r>
        <w:rPr>
          <w:rFonts w:hint="eastAsia" w:ascii="黑体" w:hAnsi="黑体" w:eastAsia="方正黑体_GBK" w:cs="黑体"/>
          <w:b w:val="0"/>
          <w:bCs w:val="0"/>
          <w:sz w:val="44"/>
          <w:szCs w:val="44"/>
        </w:rPr>
        <w:t>》考试大纲</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本科目各章考试内容中，掌握的内容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应试人员对相关知识点能够全面、系统掌握，并能够分析、判断和处理实务中相关的问题；熟悉的内容，要求应试人员对相关知识点能够准确理解，并能够解决和处理实务中相关的问题；了解的内容，要求应试人员对相关知识点能够一般性理解。</w:t>
      </w:r>
    </w:p>
    <w:p>
      <w:pPr>
        <w:ind w:firstLine="640" w:firstLineChars="200"/>
        <w:rPr>
          <w:rFonts w:hint="eastAsia" w:ascii="仿宋_GB2312" w:hAnsi="仿宋_GB2312" w:eastAsia="仿宋_GB2312" w:cs="仿宋_GB2312"/>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第一章 总论</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1.企业财务管理的内容。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2.企业财务管理目标理论。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3.财务管理原则。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4.财务管理环节。</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财务管理目标与利益冲突。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企业财务管理体制的设计原则。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影响企业财务管理体制集权与分权选择的因素。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财务管理环境。</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企业及其组织形式</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企业财务管理体制的一般模式及其优缺点。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集权与分权相结合型财务管理体制的实践。</w:t>
      </w:r>
    </w:p>
    <w:p>
      <w:pPr>
        <w:ind w:firstLine="640" w:firstLineChars="200"/>
        <w:rPr>
          <w:rFonts w:hint="eastAsia" w:ascii="仿宋_GB2312" w:hAnsi="仿宋_GB2312" w:eastAsia="仿宋_GB2312" w:cs="仿宋_GB2312"/>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第二章 财务管理基础</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货币时间价值的计算。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成本性态分析。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资本资产定价模型的基本原理。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证券资产组合的收益与风险。</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资产收益与收益率。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资产的风险及其衡量。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风险管理。</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资本资产定价模型的有效性和局限性。</w:t>
      </w:r>
    </w:p>
    <w:p>
      <w:pPr>
        <w:ind w:firstLine="640" w:firstLineChars="200"/>
        <w:rPr>
          <w:rFonts w:hint="eastAsia" w:ascii="仿宋_GB2312" w:hAnsi="仿宋_GB2312" w:eastAsia="仿宋_GB2312" w:cs="仿宋_GB2312"/>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第三章 预算管理</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预算的分类。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预算的编制方法。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经营预算的编制。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财务预算的编制。</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预算管理的概念和原则。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预算的特征与作用。</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3.专门决策预算的编制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预算的执行。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预算的分析与考核。</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预算体系。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预算管理工作的组织。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预算的编制程序。</w:t>
      </w:r>
    </w:p>
    <w:p>
      <w:pPr>
        <w:ind w:firstLine="640" w:firstLineChars="200"/>
        <w:rPr>
          <w:rFonts w:hint="eastAsia" w:ascii="仿宋_GB2312" w:hAnsi="仿宋_GB2312" w:eastAsia="仿宋_GB2312" w:cs="仿宋_GB2312"/>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第四章 筹资管理（上）</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筹资管理的内容。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筹资管理的原则。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债务筹资方式。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股权筹资方式。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衍生工具筹资方式。</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企业筹资的分类。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2.企业的筹资方式。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股权筹资的优缺点。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债务筹资的优缺点。</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企业筹资的动机。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筹资实务创新。</w:t>
      </w:r>
    </w:p>
    <w:p>
      <w:pPr>
        <w:ind w:firstLine="640" w:firstLineChars="200"/>
        <w:rPr>
          <w:rFonts w:hint="eastAsia" w:ascii="仿宋_GB2312" w:hAnsi="仿宋_GB2312" w:eastAsia="仿宋_GB2312" w:cs="仿宋_GB2312"/>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第五章 筹资管理（下）</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资金需要量预测的方法。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个别资本成本的计算。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平均资本成本的计算。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边际资本成本的计算。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金融工具价值评估方法。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经营杠杆的原理及其杠杆系数的测算方法。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财务杠杆的原理及其杠杆系数的测算方法。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总杠杆的原理及其杠杆系数的测算方法。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资本结构理论。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资本结构优化的分析方法。</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资本成本的含义与作用。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影响资本成本的因素。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项目资本成本的计算。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影响资本结构的因素。</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双重股权结构。</w:t>
      </w:r>
    </w:p>
    <w:p>
      <w:pPr>
        <w:ind w:firstLine="640" w:firstLineChars="200"/>
        <w:rPr>
          <w:rFonts w:hint="eastAsia" w:ascii="仿宋_GB2312" w:hAnsi="仿宋_GB2312" w:eastAsia="仿宋_GB2312" w:cs="仿宋_GB2312"/>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第六章 投资管理</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投资项目现金流量的测算。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投资项目财务评价指标。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项目投资财务决策方法。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债券与股票的估值方法。</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企业投资管理的特点。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企业投资的分类。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投资管理的原则。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证券资产的特点。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证券投资的目的。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证券资产投资的风险。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证券投资基金的概念。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证券投资基金的特点。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证券投资基金的分类。</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企业投资的意义。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证券投资基金的业绩评价。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私募股权投资基金。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期权合约。</w:t>
      </w:r>
    </w:p>
    <w:p>
      <w:pPr>
        <w:ind w:firstLine="640" w:firstLineChars="200"/>
        <w:rPr>
          <w:rFonts w:hint="eastAsia" w:ascii="仿宋_GB2312" w:hAnsi="仿宋_GB2312" w:eastAsia="仿宋_GB2312" w:cs="仿宋_GB2312"/>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第七章 营运资金管理</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现金收支和应收账款日常管理。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存货的成本。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目标现金余额的确定。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最优存货量的确定。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应收账款的成本。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流动负债管理。</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营运资金的概念及特点。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营运资金的管理原则。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营运资金的管理策略。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应收账款的功能。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应收账款的监控。</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持有现金的动机。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现金管理模式。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信用标准。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收账政策。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存货管理目标。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存货的控制系统。</w:t>
      </w:r>
    </w:p>
    <w:p>
      <w:pPr>
        <w:ind w:firstLine="640" w:firstLineChars="200"/>
        <w:rPr>
          <w:rFonts w:hint="eastAsia" w:ascii="仿宋_GB2312" w:hAnsi="仿宋_GB2312" w:eastAsia="仿宋_GB2312" w:cs="仿宋_GB2312"/>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第八章 成本管理</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成本管理的主要内容。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本量利分析的含义。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本量利分析的基本原理。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盈亏平衡分析。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目标利润分析。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敏感性分析。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边际分析。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标准成本的制定。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成本差异的计算与分析。</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成本管理的目标。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本量利分析的基本假设。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成本管理的原则。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本量利分析的优缺点。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5.作业成本。</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1.成本管理的意义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标准成本控制与分析的相关概念。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责任成本。</w:t>
      </w:r>
    </w:p>
    <w:p>
      <w:pPr>
        <w:ind w:firstLine="640" w:firstLineChars="200"/>
        <w:rPr>
          <w:rFonts w:hint="eastAsia" w:ascii="仿宋_GB2312" w:hAnsi="仿宋_GB2312" w:eastAsia="仿宋_GB2312" w:cs="仿宋_GB2312"/>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第九章 收入与分配管理</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收入与分配管理的内容。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销售预测分析方法。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产品定价方法。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股利分配理论。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股利政策。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利润分配制约因素。</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股权激励</w:t>
      </w:r>
      <w:r>
        <w:rPr>
          <w:rFonts w:hint="eastAsia" w:ascii="仿宋_GB2312" w:hAnsi="仿宋_GB2312" w:eastAsia="仿宋_GB2312" w:cs="仿宋_GB2312"/>
          <w:sz w:val="32"/>
          <w:szCs w:val="32"/>
          <w:lang w:val="en-US" w:eastAsia="zh-CN"/>
        </w:rPr>
        <w:t>模式</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纳税管理。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企业的定价目标。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股利支付形式与程序。</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企业收入与分配管理的意义和原则。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销售定价管理的意义。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影响产品价格的因素。</w:t>
      </w:r>
    </w:p>
    <w:p>
      <w:pPr>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股</w:t>
      </w:r>
      <w:r>
        <w:rPr>
          <w:rFonts w:hint="eastAsia" w:ascii="仿宋_GB2312" w:hAnsi="仿宋_GB2312" w:eastAsia="仿宋_GB2312" w:cs="仿宋_GB2312"/>
          <w:sz w:val="32"/>
          <w:szCs w:val="32"/>
          <w:lang w:val="en-US" w:eastAsia="zh-CN"/>
        </w:rPr>
        <w:t>票</w:t>
      </w:r>
      <w:r>
        <w:rPr>
          <w:rFonts w:hint="eastAsia" w:ascii="仿宋_GB2312" w:hAnsi="仿宋_GB2312" w:eastAsia="仿宋_GB2312" w:cs="仿宋_GB2312"/>
          <w:sz w:val="32"/>
          <w:szCs w:val="32"/>
        </w:rPr>
        <w:t>分割与股票回购。</w:t>
      </w:r>
    </w:p>
    <w:p>
      <w:pPr>
        <w:ind w:firstLine="640" w:firstLineChars="200"/>
        <w:jc w:val="center"/>
        <w:rPr>
          <w:rFonts w:hint="eastAsia" w:ascii="黑体" w:hAnsi="黑体" w:eastAsia="黑体" w:cs="黑体"/>
          <w:sz w:val="32"/>
          <w:szCs w:val="32"/>
        </w:rPr>
      </w:pP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第十章 财务分析与评价</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财务分析的方法。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基本的财务报表分析。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上市公司特殊财务分析指标。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企业综合绩效分析的方法。</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综合绩效评价。</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管理层讨论与分析。</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财务分析的意义和内容。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财务分析的局限性。</w:t>
      </w:r>
    </w:p>
    <w:p/>
    <w:p/>
    <w:p/>
    <w:p/>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方正黑体_GBK" w:cs="黑体"/>
          <w:b w:val="0"/>
          <w:bCs w:val="0"/>
          <w:sz w:val="44"/>
          <w:szCs w:val="44"/>
          <w:lang w:val="en-US" w:eastAsia="zh-CN"/>
        </w:rPr>
      </w:pPr>
      <w:r>
        <w:rPr>
          <w:rFonts w:hint="eastAsia" w:ascii="黑体" w:hAnsi="黑体" w:eastAsia="方正黑体_GBK" w:cs="黑体"/>
          <w:b w:val="0"/>
          <w:bCs/>
          <w:sz w:val="44"/>
          <w:szCs w:val="44"/>
          <w:lang w:eastAsia="zh-CN"/>
        </w:rPr>
        <w:t>《</w:t>
      </w:r>
      <w:r>
        <w:rPr>
          <w:rFonts w:hint="eastAsia" w:ascii="黑体" w:hAnsi="黑体" w:eastAsia="方正黑体_GBK" w:cs="黑体"/>
          <w:b w:val="0"/>
          <w:bCs/>
          <w:sz w:val="44"/>
          <w:szCs w:val="44"/>
        </w:rPr>
        <w:t>经济法</w:t>
      </w:r>
      <w:r>
        <w:rPr>
          <w:rFonts w:hint="eastAsia" w:ascii="黑体" w:hAnsi="黑体" w:eastAsia="方正黑体_GBK" w:cs="黑体"/>
          <w:b w:val="0"/>
          <w:bCs/>
          <w:sz w:val="44"/>
          <w:szCs w:val="44"/>
          <w:lang w:eastAsia="zh-CN"/>
        </w:rPr>
        <w:t>》</w:t>
      </w:r>
      <w:r>
        <w:rPr>
          <w:rFonts w:hint="eastAsia" w:ascii="黑体" w:hAnsi="黑体" w:eastAsia="方正黑体_GBK" w:cs="黑体"/>
          <w:b w:val="0"/>
          <w:bCs w:val="0"/>
          <w:sz w:val="44"/>
          <w:szCs w:val="44"/>
          <w:lang w:val="en-US" w:eastAsia="zh-CN"/>
        </w:rPr>
        <w:t>考试大纲</w:t>
      </w:r>
    </w:p>
    <w:p>
      <w:pPr>
        <w:ind w:firstLine="0" w:firstLineChars="0"/>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本科目各章考试内容中</w:t>
      </w:r>
      <w:bookmarkStart w:id="1" w:name="_GoBack"/>
      <w:bookmarkEnd w:id="1"/>
      <w:r>
        <w:rPr>
          <w:rFonts w:hint="eastAsia" w:ascii="仿宋_GB2312" w:hAnsi="仿宋_GB2312" w:eastAsia="仿宋_GB2312" w:cs="仿宋_GB2312"/>
          <w:b w:val="0"/>
          <w:bCs w:val="0"/>
          <w:sz w:val="32"/>
          <w:szCs w:val="32"/>
          <w:lang w:eastAsia="zh-CN"/>
        </w:rPr>
        <w:t>，掌握的内容，要求应试人员对相关知识点能够全面、系统掌握，并能够分析、判断和处理实务中相关的问题；熟悉的内容，要求应试人员对相关知识点能够准确理解，并能够解决和处理实务中相关的问题；了解的内容，要求应试人员对相关知识点能够一般性理解。</w:t>
      </w:r>
    </w:p>
    <w:p>
      <w:pPr>
        <w:ind w:firstLine="640" w:firstLineChars="200"/>
        <w:rPr>
          <w:rFonts w:hint="eastAsia" w:ascii="仿宋_GB2312" w:hAnsi="仿宋_GB2312" w:eastAsia="仿宋_GB2312" w:cs="仿宋_GB2312"/>
          <w:b w:val="0"/>
          <w:sz w:val="32"/>
          <w:szCs w:val="32"/>
        </w:rPr>
      </w:pPr>
    </w:p>
    <w:p>
      <w:pPr>
        <w:ind w:firstLine="2880" w:firstLineChars="900"/>
        <w:rPr>
          <w:rFonts w:hint="eastAsia" w:ascii="黑体" w:hAnsi="黑体" w:eastAsia="黑体" w:cs="黑体"/>
          <w:b w:val="0"/>
          <w:bCs/>
          <w:sz w:val="32"/>
          <w:szCs w:val="32"/>
        </w:rPr>
      </w:pPr>
      <w:r>
        <w:rPr>
          <w:rFonts w:hint="eastAsia" w:ascii="黑体" w:hAnsi="黑体" w:eastAsia="黑体" w:cs="黑体"/>
          <w:b w:val="0"/>
          <w:bCs/>
          <w:sz w:val="32"/>
          <w:szCs w:val="32"/>
        </w:rPr>
        <w:t>第一章   总论</w:t>
      </w:r>
    </w:p>
    <w:p>
      <w:pPr>
        <w:ind w:firstLine="66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一、掌握的内容</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1.法律行为制度</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2.代理制度</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3.仲裁法律制度的规定</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4.民事诉讼法律制度的规定</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5.行政复议法律制度的规定</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6.行政诉讼法律制度的规定</w:t>
      </w:r>
    </w:p>
    <w:p>
      <w:pPr>
        <w:ind w:firstLine="66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二、熟悉的内容</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1.法律体系的概念和构成</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2.法律部门的概念和构成</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3.经济纠纷的解决途径</w:t>
      </w:r>
    </w:p>
    <w:p>
      <w:pPr>
        <w:ind w:firstLine="66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三、了解的内容</w:t>
      </w: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1.经济纠纷的概念</w:t>
      </w:r>
    </w:p>
    <w:p>
      <w:pPr>
        <w:ind w:firstLine="0" w:firstLineChars="0"/>
        <w:rPr>
          <w:rFonts w:ascii="仿宋_GB2312" w:hAnsi="仿宋_GB2312" w:eastAsia="仿宋_GB2312" w:cs="仿宋_GB2312"/>
          <w:b/>
          <w:bCs/>
          <w:sz w:val="32"/>
          <w:szCs w:val="32"/>
        </w:rPr>
      </w:pPr>
      <w:r>
        <w:rPr>
          <w:rFonts w:hint="eastAsia" w:ascii="仿宋" w:hAnsi="仿宋" w:eastAsia="仿宋"/>
          <w:b/>
          <w:sz w:val="32"/>
          <w:szCs w:val="32"/>
        </w:rPr>
        <w:t xml:space="preserve">  </w:t>
      </w:r>
    </w:p>
    <w:p>
      <w:pPr>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公司法律制度</w:t>
      </w:r>
    </w:p>
    <w:p>
      <w:pPr>
        <w:ind w:firstLine="642" w:firstLineChars="200"/>
        <w:rPr>
          <w:sz w:val="32"/>
          <w:szCs w:val="32"/>
        </w:rPr>
      </w:pPr>
      <w:r>
        <w:rPr>
          <w:rFonts w:hint="eastAsia" w:ascii="仿宋_GB2312" w:hAnsi="仿宋_GB2312" w:eastAsia="仿宋_GB2312" w:cs="仿宋_GB2312"/>
          <w:b/>
          <w:sz w:val="32"/>
          <w:szCs w:val="32"/>
        </w:rPr>
        <w:t>一、掌握的内容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1.公司法人财产权制度。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2.有限责任公司的设立、组织机构、股权转让的规定。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3.一人有限责任公司和国有独资公司的特别规定。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4.股份有限公司的设立、组织机构的规定。</w:t>
      </w:r>
    </w:p>
    <w:p>
      <w:pPr>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5.公司董事、监事、高级管理人员的资格和义务。</w:t>
      </w:r>
    </w:p>
    <w:p>
      <w:pPr>
        <w:ind w:left="638" w:leftChars="304"/>
        <w:rPr>
          <w:sz w:val="32"/>
          <w:szCs w:val="32"/>
        </w:rPr>
      </w:pPr>
      <w:r>
        <w:rPr>
          <w:rFonts w:hint="eastAsia" w:ascii="仿宋_GB2312" w:hAnsi="仿宋_GB2312" w:eastAsia="仿宋_GB2312" w:cs="仿宋_GB2312"/>
          <w:b/>
          <w:sz w:val="32"/>
          <w:szCs w:val="32"/>
        </w:rPr>
        <w:t>二、熟悉的内容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1.公司的概念和种类。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2.上市公司组织机构的特别规定。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3.股东诉讼的规定。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4.公司股票和公司债券的发行和转让的规定。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5.公司的利润分配的规定。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6.公司合并、分立、增资、减资、解散和清算的规定。</w:t>
      </w:r>
    </w:p>
    <w:p>
      <w:pPr>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三、了解的内容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1.公司法的概念与性质。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2.公司登记管辖、登记事项、备案事项、登记规范、监督管理的规定。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3.公司债券的规定。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4.公司财务、会计的作用和基本要求。</w:t>
      </w:r>
    </w:p>
    <w:p>
      <w:pPr>
        <w:ind w:firstLine="640" w:firstLineChars="200"/>
        <w:rPr>
          <w:rFonts w:ascii="仿宋_GB2312" w:hAnsi="仿宋_GB2312" w:eastAsia="仿宋_GB2312" w:cs="仿宋_GB2312"/>
          <w:sz w:val="32"/>
          <w:szCs w:val="32"/>
        </w:rPr>
      </w:pPr>
    </w:p>
    <w:p>
      <w:pPr>
        <w:ind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第三章  合伙企业法律制度</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一、掌握的内容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1.普通合伙企业合伙事务执行的规定。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2.普通合伙企业与第三人关系的规定。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3.普通合伙企业的入伙与退伙的规定。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4.有限合伙企业</w:t>
      </w:r>
      <w:r>
        <w:rPr>
          <w:rFonts w:hint="eastAsia" w:ascii="仿宋_GB2312" w:hAnsi="仿宋_GB2312" w:eastAsia="仿宋_GB2312" w:cs="仿宋_GB2312"/>
          <w:sz w:val="32"/>
          <w:szCs w:val="32"/>
          <w:lang w:eastAsia="zh-CN"/>
        </w:rPr>
        <w:t>合伙</w:t>
      </w:r>
      <w:r>
        <w:rPr>
          <w:rFonts w:hint="eastAsia" w:ascii="仿宋_GB2312" w:hAnsi="仿宋_GB2312" w:eastAsia="仿宋_GB2312" w:cs="仿宋_GB2312"/>
          <w:sz w:val="32"/>
          <w:szCs w:val="32"/>
        </w:rPr>
        <w:t>事务执行的特殊规定。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5.有限合伙企业入伙与退伙的特殊规定。</w:t>
      </w:r>
    </w:p>
    <w:p>
      <w:pPr>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二、熟悉的内容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1.普通合伙企业的设立和财产的规定。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2.特殊的普通合伙企业的规定。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3.有限合伙人财产出质与转让的特殊规定。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.合伙企业的解散和清算的规定。</w:t>
      </w:r>
    </w:p>
    <w:p>
      <w:pPr>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三、了解的内容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1.合伙企业概念及分类。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2.合伙企业法的概念和基本原则。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3.有限合伙企业的概念及法律适用。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4.有限合伙企业设立的特殊规定。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.有限合伙人债务清偿的特殊规定。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.有限合伙企业合伙人性质转变的特殊规定。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.合伙企业的清算人制度。</w:t>
      </w:r>
    </w:p>
    <w:p>
      <w:pPr>
        <w:widowControl/>
        <w:jc w:val="left"/>
        <w:rPr>
          <w:rFonts w:ascii="仿宋" w:hAnsi="仿宋" w:eastAsia="仿宋"/>
          <w:b/>
          <w:sz w:val="32"/>
          <w:szCs w:val="32"/>
        </w:rPr>
      </w:pPr>
    </w:p>
    <w:p>
      <w:pPr>
        <w:ind w:firstLine="640" w:firstLineChars="200"/>
        <w:jc w:val="center"/>
        <w:rPr>
          <w:rFonts w:hint="eastAsia" w:ascii="黑体" w:hAnsi="黑体" w:eastAsia="黑体" w:cs="黑体"/>
          <w:bCs w:val="0"/>
          <w:sz w:val="32"/>
          <w:szCs w:val="32"/>
        </w:rPr>
      </w:pPr>
      <w:r>
        <w:rPr>
          <w:rFonts w:hint="eastAsia" w:ascii="黑体" w:hAnsi="黑体" w:eastAsia="黑体" w:cs="黑体"/>
          <w:b w:val="0"/>
          <w:bCs w:val="0"/>
          <w:sz w:val="32"/>
          <w:szCs w:val="32"/>
        </w:rPr>
        <w:t>第四章 物权法律制度</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物权变动制度。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bookmarkStart w:id="0" w:name="_Hlk100430897"/>
      <w:r>
        <w:rPr>
          <w:rFonts w:hint="eastAsia" w:ascii="仿宋_GB2312" w:hAnsi="仿宋_GB2312" w:eastAsia="仿宋_GB2312" w:cs="仿宋_GB2312"/>
          <w:sz w:val="32"/>
          <w:szCs w:val="32"/>
        </w:rPr>
        <w:t>担保物权概述。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抵押权的规定。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质权的规定。</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留置权</w:t>
      </w:r>
      <w:bookmarkEnd w:id="0"/>
      <w:r>
        <w:rPr>
          <w:rFonts w:hint="eastAsia" w:ascii="仿宋_GB2312" w:hAnsi="仿宋_GB2312" w:eastAsia="仿宋_GB2312" w:cs="仿宋_GB2312"/>
          <w:sz w:val="32"/>
          <w:szCs w:val="32"/>
        </w:rPr>
        <w:t>的规定。</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物权通论。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物权的保护制度。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所有权的取得的规定。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共有的规定。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土地承包经营权的规定。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建设用地使用权的规定。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居住权的规定。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占有的意义、分类和保护制度。</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物权法的概念与属性。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所有权的概念与特征。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所有权的权能。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相邻关系的规定。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用益物权的概念与特征。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宅基地使用权的规定。</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地役权的规定。</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ascii="仿宋_GB2312" w:hAnsi="仿宋_GB2312" w:eastAsia="仿宋_GB2312" w:cs="仿宋_GB2312"/>
          <w:b/>
          <w:bCs/>
          <w:sz w:val="32"/>
          <w:szCs w:val="32"/>
        </w:rPr>
        <w:t xml:space="preserve">  </w:t>
      </w:r>
    </w:p>
    <w:p>
      <w:pPr>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合同法律制度</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一、掌握的内容</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合同订立的方式</w:t>
      </w:r>
      <w:r>
        <w:rPr>
          <w:rFonts w:hint="eastAsia" w:ascii="仿宋_GB2312" w:hAnsi="仿宋_GB2312" w:eastAsia="仿宋_GB2312" w:cs="仿宋_GB2312"/>
          <w:sz w:val="32"/>
          <w:szCs w:val="32"/>
          <w:highlight w:val="none"/>
          <w:lang w:eastAsia="zh-CN"/>
        </w:rPr>
        <w:t>（要约、承诺）</w:t>
      </w:r>
      <w:r>
        <w:rPr>
          <w:rFonts w:hint="eastAsia" w:ascii="仿宋_GB2312" w:hAnsi="仿宋_GB2312" w:eastAsia="仿宋_GB2312" w:cs="仿宋_GB2312"/>
          <w:sz w:val="32"/>
          <w:szCs w:val="32"/>
          <w:highlight w:val="none"/>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合同格式条款。</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合同的生效的规定。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效力待定合同的规定。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合同履行的规则。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抗辩权的行使。</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合同保全的概念。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代位权的规定。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撤销权的规定。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合同的变更的规定。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合同的转让的规定。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清偿的规定。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抵销的规定。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提存的规定。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免除的规定。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混同的规定。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合同解除的规定。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承担违约责任的形式。</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买卖合同的规定。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赠与合同的规定。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借款合同的规定。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保证合同的规定。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租赁合同的规定。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融资租赁合同的规定。</w:t>
      </w:r>
    </w:p>
    <w:p>
      <w:pPr>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二、熟悉的内容</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合同的概念和分类。</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合同编的调整范围和基本原则。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合同订立的形式。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合同成立的时间和地点。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缔约过失责任的规定。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违约责任的概念与基本构成。</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免责事由。</w:t>
      </w:r>
    </w:p>
    <w:p>
      <w:pPr>
        <w:ind w:firstLine="642" w:firstLineChars="200"/>
        <w:rPr>
          <w:rFonts w:ascii="仿宋" w:hAnsi="仿宋" w:eastAsia="仿宋"/>
          <w:b/>
          <w:sz w:val="32"/>
          <w:szCs w:val="32"/>
        </w:rPr>
      </w:pPr>
      <w:r>
        <w:rPr>
          <w:rFonts w:hint="eastAsia" w:ascii="仿宋_GB2312" w:hAnsi="仿宋_GB2312" w:eastAsia="仿宋_GB2312" w:cs="仿宋_GB2312"/>
          <w:b/>
          <w:bCs/>
          <w:sz w:val="32"/>
          <w:szCs w:val="32"/>
        </w:rPr>
        <w:t xml:space="preserve">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 xml:space="preserve"> </w:t>
      </w:r>
    </w:p>
    <w:p>
      <w:pPr>
        <w:ind w:firstLine="2880" w:firstLineChars="900"/>
      </w:pPr>
      <w:r>
        <w:rPr>
          <w:rFonts w:hint="eastAsia" w:ascii="黑体" w:hAnsi="黑体" w:eastAsia="黑体" w:cs="黑体"/>
          <w:b w:val="0"/>
          <w:bCs/>
          <w:sz w:val="32"/>
          <w:szCs w:val="32"/>
        </w:rPr>
        <w:t>第六章 金融法律制度</w:t>
      </w:r>
    </w:p>
    <w:p>
      <w:pPr>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一、掌握的内容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1.票据法的基础理论。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2.汇票与支票的规定及相关运用。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3.证券发行制度的规定。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4.证券交易制度的规定。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5.上市公司收购制度的规定。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6.保险与保险法的基础理论。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7.保险合同的相关规定。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8.信托法的基础理论。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9.信托的设立制度。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10.信托财产制度。</w:t>
      </w:r>
    </w:p>
    <w:p>
      <w:pPr>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二、熟悉的内容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1.本票的规定及相关运用。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2.信息披露制度的相关规定。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3.投资者保护制度的规定。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4.信托当事人的权利与义务。</w:t>
      </w:r>
    </w:p>
    <w:p>
      <w:pPr>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三、了解的内容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1.涉外票据的概念与法律适用。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2.证券与证券法的基础理论。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3.保险公司与保险中介人的相关规定。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4.信托的变更与终止制度。</w:t>
      </w:r>
    </w:p>
    <w:p>
      <w:pPr>
        <w:jc w:val="left"/>
        <w:rPr>
          <w:rFonts w:ascii="楷体" w:hAnsi="楷体" w:eastAsia="楷体" w:cs="楷体"/>
          <w:sz w:val="28"/>
          <w:szCs w:val="28"/>
        </w:rPr>
      </w:pPr>
      <w:r>
        <w:rPr>
          <w:rFonts w:hint="eastAsia" w:ascii="楷体" w:hAnsi="楷体" w:eastAsia="楷体" w:cs="楷体"/>
          <w:sz w:val="28"/>
          <w:szCs w:val="28"/>
        </w:rPr>
        <w:t xml:space="preserve">  </w:t>
      </w:r>
    </w:p>
    <w:p>
      <w:pPr>
        <w:spacing w:line="240" w:lineRule="auto"/>
        <w:ind w:firstLine="2880" w:firstLineChars="900"/>
        <w:jc w:val="left"/>
        <w:rPr>
          <w:rFonts w:hint="eastAsia" w:ascii="黑体" w:hAnsi="黑体" w:eastAsia="黑体" w:cs="黑体"/>
          <w:b w:val="0"/>
          <w:bCs/>
          <w:sz w:val="32"/>
          <w:szCs w:val="32"/>
        </w:rPr>
      </w:pPr>
      <w:r>
        <w:rPr>
          <w:rFonts w:hint="eastAsia" w:ascii="黑体" w:hAnsi="黑体" w:eastAsia="黑体" w:cs="黑体"/>
          <w:b w:val="0"/>
          <w:bCs/>
          <w:sz w:val="32"/>
          <w:szCs w:val="32"/>
        </w:rPr>
        <w:t>第七章 财政法律制度</w:t>
      </w:r>
    </w:p>
    <w:p>
      <w:pPr>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一、掌握的内容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.预算收支范围。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.企业国有资产管理法律制度的规定。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.行政事业性国有资产管理法律制度的规定。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.政府采购当事人。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.政府采购方式。</w:t>
      </w:r>
    </w:p>
    <w:p>
      <w:pPr>
        <w:numPr>
          <w:ilvl w:val="0"/>
          <w:numId w:val="1"/>
        </w:numPr>
        <w:spacing w:line="360" w:lineRule="auto"/>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熟悉的内容</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预算编制的规定。</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预算审查和批准的规定。</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预算执行和调整的规定。</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决算的规定。</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预算监督的规定。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.国有资产的概念及类型。</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政府采购的概念和原则。</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政府采购合同的规定。</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政府采购的质疑与投诉的规定。</w:t>
      </w:r>
    </w:p>
    <w:p>
      <w:pPr>
        <w:spacing w:line="360" w:lineRule="auto"/>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三、了解的内容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1.预算</w:t>
      </w:r>
      <w:r>
        <w:rPr>
          <w:rFonts w:hint="eastAsia" w:ascii="仿宋_GB2312" w:hAnsi="仿宋_GB2312" w:eastAsia="仿宋_GB2312" w:cs="仿宋_GB2312"/>
          <w:sz w:val="32"/>
          <w:szCs w:val="32"/>
          <w:lang w:eastAsia="zh-CN"/>
        </w:rPr>
        <w:t>和预算法</w:t>
      </w:r>
      <w:r>
        <w:rPr>
          <w:rFonts w:hint="eastAsia" w:ascii="仿宋_GB2312" w:hAnsi="仿宋_GB2312" w:eastAsia="仿宋_GB2312" w:cs="仿宋_GB2312"/>
          <w:sz w:val="32"/>
          <w:szCs w:val="32"/>
        </w:rPr>
        <w:t>的概念。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.政府采购程序。</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.政府采购的监督检查。</w:t>
      </w:r>
    </w:p>
    <w:p>
      <w:pPr>
        <w:pStyle w:val="2"/>
        <w:spacing w:before="0" w:after="0" w:line="360" w:lineRule="auto"/>
        <w:jc w:val="both"/>
        <w:rPr>
          <w:rFonts w:hint="eastAsia" w:ascii="黑体" w:hAnsi="黑体" w:eastAsia="黑体" w:cs="黑体"/>
          <w:b w:val="0"/>
          <w:bCs w:val="0"/>
          <w:sz w:val="44"/>
          <w:szCs w:val="44"/>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suppressAutoHyphens/>
                  <w:rPr>
                    <w:rFonts w:hint="eastAsia" w:ascii="Calibri" w:hAnsi="Calibri" w:eastAsia="宋体" w:cs="Times New Roman"/>
                    <w:szCs w:val="18"/>
                    <w:lang w:eastAsia="zh-CN"/>
                  </w:rPr>
                </w:pPr>
                <w:r>
                  <w:rPr>
                    <w:rFonts w:hint="eastAsia" w:ascii="Calibri" w:hAnsi="Calibri" w:eastAsia="宋体" w:cs="Times New Roman"/>
                    <w:szCs w:val="18"/>
                    <w:lang w:eastAsia="zh-CN"/>
                  </w:rPr>
                  <w:fldChar w:fldCharType="begin"/>
                </w:r>
                <w:r>
                  <w:rPr>
                    <w:rFonts w:hint="eastAsia" w:ascii="Calibri" w:hAnsi="Calibri" w:eastAsia="宋体" w:cs="Times New Roman"/>
                    <w:szCs w:val="18"/>
                    <w:lang w:eastAsia="zh-CN"/>
                  </w:rPr>
                  <w:instrText xml:space="preserve"> PAGE  \* MERGEFORMAT </w:instrText>
                </w:r>
                <w:r>
                  <w:rPr>
                    <w:rFonts w:hint="eastAsia" w:ascii="Calibri" w:hAnsi="Calibri" w:eastAsia="宋体" w:cs="Times New Roman"/>
                    <w:szCs w:val="18"/>
                    <w:lang w:eastAsia="zh-CN"/>
                  </w:rPr>
                  <w:fldChar w:fldCharType="separate"/>
                </w:r>
                <w:r>
                  <w:rPr>
                    <w:rFonts w:hint="eastAsia" w:ascii="Calibri" w:hAnsi="Calibri" w:eastAsia="宋体" w:cs="Times New Roman"/>
                    <w:szCs w:val="18"/>
                    <w:lang w:eastAsia="zh-CN"/>
                  </w:rPr>
                  <w:t>1</w:t>
                </w:r>
                <w:r>
                  <w:rPr>
                    <w:rFonts w:hint="eastAsia" w:ascii="Calibri" w:hAnsi="Calibri" w:eastAsia="宋体" w:cs="Times New Roman"/>
                    <w:szCs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EFDB38"/>
    <w:multiLevelType w:val="singleLevel"/>
    <w:tmpl w:val="EDEFDB38"/>
    <w:lvl w:ilvl="0" w:tentative="0">
      <w:start w:val="2"/>
      <w:numFmt w:val="chineseCounting"/>
      <w:suff w:val="nothing"/>
      <w:lvlText w:val="%1、"/>
      <w:lvlJc w:val="left"/>
      <w:pPr>
        <w:ind w:left="-1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E0YTczOTRhYTc2ZmM2NTFjZTE1NGU3NjY0M2MyYmQifQ=="/>
  </w:docVars>
  <w:rsids>
    <w:rsidRoot w:val="6AF68959"/>
    <w:rsid w:val="0FE92A4A"/>
    <w:rsid w:val="22EA1D62"/>
    <w:rsid w:val="3B3ED0A1"/>
    <w:rsid w:val="3C3B4E97"/>
    <w:rsid w:val="3FF77AA4"/>
    <w:rsid w:val="4DCC0D1C"/>
    <w:rsid w:val="5FF146C7"/>
    <w:rsid w:val="68B741F0"/>
    <w:rsid w:val="6AF68959"/>
    <w:rsid w:val="7459CCA5"/>
    <w:rsid w:val="7A9B01DF"/>
    <w:rsid w:val="7A9FA8BC"/>
    <w:rsid w:val="7DA466DC"/>
    <w:rsid w:val="7EE73570"/>
    <w:rsid w:val="7F7BDB57"/>
    <w:rsid w:val="9BCE6F8F"/>
    <w:rsid w:val="A37BD145"/>
    <w:rsid w:val="EBED99AF"/>
    <w:rsid w:val="EF7F610D"/>
    <w:rsid w:val="EFF365FF"/>
    <w:rsid w:val="F77CB569"/>
    <w:rsid w:val="FEEF2264"/>
    <w:rsid w:val="FFFB3F98"/>
    <w:rsid w:val="FFFFE3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方正书宋_GBK" w:hAnsi="DejaVu San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7702</Words>
  <Characters>8153</Characters>
  <Lines>0</Lines>
  <Paragraphs>0</Paragraphs>
  <TotalTime>9</TotalTime>
  <ScaleCrop>false</ScaleCrop>
  <LinksUpToDate>false</LinksUpToDate>
  <CharactersWithSpaces>8226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2022-06-14T13:49:00Z</dcterms:created>
  <dc:creator>Admin</dc:creator>
  <cp:lastModifiedBy>hanbing</cp:lastModifiedBy>
  <dcterms:modified xsi:type="dcterms:W3CDTF">2023-01-03T14:23:56Z</dcterms:modified>
  <dc:title>2023年度中级会计资格考试大纲</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A41293A18505412BA051944E5B74A5D5</vt:lpwstr>
  </property>
</Properties>
</file>