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7C" w:rsidRDefault="00087D3A" w:rsidP="002377F2">
      <w:pPr>
        <w:jc w:val="center"/>
        <w:rPr>
          <w:rFonts w:ascii="黑体" w:eastAsia="黑体" w:hAnsi="黑体"/>
          <w:sz w:val="36"/>
          <w:szCs w:val="36"/>
        </w:rPr>
      </w:pPr>
      <w:r w:rsidRPr="0067197C">
        <w:rPr>
          <w:rFonts w:ascii="黑体" w:eastAsia="黑体" w:hAnsi="黑体" w:hint="eastAsia"/>
          <w:sz w:val="36"/>
          <w:szCs w:val="36"/>
        </w:rPr>
        <w:t>企业会计准则解释第</w:t>
      </w:r>
      <w:r w:rsidR="00CE6AFF">
        <w:rPr>
          <w:rFonts w:ascii="黑体" w:eastAsia="黑体" w:hAnsi="黑体" w:hint="eastAsia"/>
          <w:sz w:val="36"/>
          <w:szCs w:val="36"/>
        </w:rPr>
        <w:t>1</w:t>
      </w:r>
      <w:r w:rsidR="004D4A98">
        <w:rPr>
          <w:rFonts w:ascii="黑体" w:eastAsia="黑体" w:hAnsi="黑体" w:hint="eastAsia"/>
          <w:sz w:val="36"/>
          <w:szCs w:val="36"/>
        </w:rPr>
        <w:t>0</w:t>
      </w:r>
      <w:r w:rsidRPr="0067197C">
        <w:rPr>
          <w:rFonts w:ascii="黑体" w:eastAsia="黑体" w:hAnsi="黑体" w:hint="eastAsia"/>
          <w:sz w:val="36"/>
          <w:szCs w:val="36"/>
        </w:rPr>
        <w:t>号</w:t>
      </w:r>
    </w:p>
    <w:p w:rsidR="00BE71D7" w:rsidRDefault="00087D3A" w:rsidP="002377F2">
      <w:pPr>
        <w:jc w:val="center"/>
        <w:rPr>
          <w:rFonts w:ascii="黑体" w:eastAsia="黑体" w:hAnsi="黑体"/>
          <w:sz w:val="32"/>
          <w:szCs w:val="32"/>
        </w:rPr>
      </w:pPr>
      <w:r w:rsidRPr="003A26C1">
        <w:rPr>
          <w:rFonts w:ascii="黑体" w:eastAsia="黑体" w:hAnsi="黑体" w:hint="eastAsia"/>
          <w:sz w:val="32"/>
          <w:szCs w:val="32"/>
        </w:rPr>
        <w:t>——</w:t>
      </w:r>
      <w:r w:rsidR="00AA0F1F" w:rsidRPr="003A26C1">
        <w:rPr>
          <w:rFonts w:ascii="黑体" w:eastAsia="黑体" w:hAnsi="黑体" w:hint="eastAsia"/>
          <w:sz w:val="32"/>
          <w:szCs w:val="32"/>
        </w:rPr>
        <w:t>关于</w:t>
      </w:r>
      <w:r w:rsidR="000866B1" w:rsidRPr="003A26C1">
        <w:rPr>
          <w:rFonts w:ascii="黑体" w:eastAsia="黑体" w:hAnsi="黑体" w:hint="eastAsia"/>
          <w:sz w:val="32"/>
          <w:szCs w:val="32"/>
        </w:rPr>
        <w:t>以</w:t>
      </w:r>
      <w:r w:rsidR="003A26C1">
        <w:rPr>
          <w:rFonts w:ascii="黑体" w:eastAsia="黑体" w:hAnsi="黑体" w:hint="eastAsia"/>
          <w:sz w:val="32"/>
          <w:szCs w:val="32"/>
        </w:rPr>
        <w:t>使用</w:t>
      </w:r>
      <w:r w:rsidR="00AA0F1F" w:rsidRPr="003A26C1">
        <w:rPr>
          <w:rFonts w:ascii="黑体" w:eastAsia="黑体" w:hAnsi="黑体" w:hint="eastAsia"/>
          <w:sz w:val="32"/>
          <w:szCs w:val="32"/>
        </w:rPr>
        <w:t>固定资产</w:t>
      </w:r>
      <w:r w:rsidR="000866B1" w:rsidRPr="003A26C1">
        <w:rPr>
          <w:rFonts w:ascii="黑体" w:eastAsia="黑体" w:hAnsi="黑体" w:hint="eastAsia"/>
          <w:sz w:val="32"/>
          <w:szCs w:val="32"/>
        </w:rPr>
        <w:t>产生的收入为基础的</w:t>
      </w:r>
      <w:r w:rsidR="00AA0F1F" w:rsidRPr="003A26C1">
        <w:rPr>
          <w:rFonts w:ascii="黑体" w:eastAsia="黑体" w:hAnsi="黑体" w:hint="eastAsia"/>
          <w:sz w:val="32"/>
          <w:szCs w:val="32"/>
        </w:rPr>
        <w:t>折旧</w:t>
      </w:r>
      <w:r w:rsidR="000866B1" w:rsidRPr="003A26C1">
        <w:rPr>
          <w:rFonts w:ascii="黑体" w:eastAsia="黑体" w:hAnsi="黑体" w:hint="eastAsia"/>
          <w:sz w:val="32"/>
          <w:szCs w:val="32"/>
        </w:rPr>
        <w:t>方法</w:t>
      </w:r>
    </w:p>
    <w:p w:rsidR="0015749A" w:rsidRDefault="0015749A" w:rsidP="0015749A">
      <w:pPr>
        <w:jc w:val="center"/>
        <w:rPr>
          <w:rFonts w:ascii="仿宋" w:eastAsia="仿宋" w:hAnsi="仿宋"/>
          <w:sz w:val="28"/>
          <w:szCs w:val="28"/>
        </w:rPr>
      </w:pPr>
      <w:r>
        <w:rPr>
          <w:rFonts w:ascii="仿宋" w:eastAsia="仿宋" w:hAnsi="仿宋" w:hint="eastAsia"/>
          <w:sz w:val="28"/>
          <w:szCs w:val="28"/>
        </w:rPr>
        <w:t>(征求意见稿)</w:t>
      </w:r>
    </w:p>
    <w:p w:rsidR="00087D3A" w:rsidRDefault="00087D3A">
      <w:pPr>
        <w:rPr>
          <w:rFonts w:ascii="仿宋" w:eastAsia="仿宋" w:hAnsi="仿宋"/>
          <w:sz w:val="28"/>
          <w:szCs w:val="28"/>
        </w:rPr>
      </w:pPr>
    </w:p>
    <w:p w:rsidR="00087D3A" w:rsidRPr="00DF152B" w:rsidRDefault="00DF152B" w:rsidP="00DF152B">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00087D3A" w:rsidRPr="00DF152B">
        <w:rPr>
          <w:rFonts w:asciiTheme="majorEastAsia" w:eastAsiaTheme="majorEastAsia" w:hAnsiTheme="majorEastAsia" w:hint="eastAsia"/>
          <w:b/>
          <w:sz w:val="28"/>
          <w:szCs w:val="28"/>
        </w:rPr>
        <w:t>涉及的主要准则</w:t>
      </w:r>
    </w:p>
    <w:p w:rsidR="003B3B6C" w:rsidRPr="003B3B6C" w:rsidRDefault="001E1479" w:rsidP="003B3B6C">
      <w:pPr>
        <w:ind w:firstLineChars="200" w:firstLine="560"/>
        <w:rPr>
          <w:rFonts w:ascii="仿宋" w:eastAsia="仿宋" w:hAnsi="仿宋"/>
          <w:sz w:val="28"/>
          <w:szCs w:val="28"/>
        </w:rPr>
      </w:pPr>
      <w:r>
        <w:rPr>
          <w:rFonts w:ascii="仿宋" w:eastAsia="仿宋" w:hAnsi="仿宋" w:hint="eastAsia"/>
          <w:sz w:val="28"/>
          <w:szCs w:val="28"/>
        </w:rPr>
        <w:t>该问题主要涉及</w:t>
      </w:r>
      <w:r w:rsidR="003B3B6C" w:rsidRPr="003B3B6C">
        <w:rPr>
          <w:rFonts w:ascii="仿宋" w:eastAsia="仿宋" w:hAnsi="仿宋" w:hint="eastAsia"/>
          <w:sz w:val="28"/>
          <w:szCs w:val="28"/>
        </w:rPr>
        <w:t>《企业会计准则第4号——固定资产》</w:t>
      </w:r>
      <w:r>
        <w:rPr>
          <w:rFonts w:ascii="仿宋" w:eastAsia="仿宋" w:hAnsi="仿宋" w:hint="eastAsia"/>
          <w:sz w:val="28"/>
          <w:szCs w:val="28"/>
        </w:rPr>
        <w:t>准则</w:t>
      </w:r>
      <w:r w:rsidR="00D71849">
        <w:rPr>
          <w:rFonts w:ascii="仿宋" w:eastAsia="仿宋" w:hAnsi="仿宋" w:hint="eastAsia"/>
          <w:sz w:val="28"/>
          <w:szCs w:val="28"/>
        </w:rPr>
        <w:t>(以下简称4号准则)</w:t>
      </w:r>
      <w:r w:rsidR="003B3B6C" w:rsidRPr="003B3B6C">
        <w:rPr>
          <w:rFonts w:ascii="仿宋" w:eastAsia="仿宋" w:hAnsi="仿宋" w:hint="eastAsia"/>
          <w:sz w:val="28"/>
          <w:szCs w:val="28"/>
        </w:rPr>
        <w:t>。</w:t>
      </w:r>
    </w:p>
    <w:p w:rsidR="00087D3A" w:rsidRPr="002377F2" w:rsidRDefault="002377F2" w:rsidP="002377F2">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087D3A" w:rsidRPr="002377F2">
        <w:rPr>
          <w:rFonts w:asciiTheme="majorEastAsia" w:eastAsiaTheme="majorEastAsia" w:hAnsiTheme="majorEastAsia" w:hint="eastAsia"/>
          <w:b/>
          <w:sz w:val="28"/>
          <w:szCs w:val="28"/>
        </w:rPr>
        <w:t>二、涉及的主要问题</w:t>
      </w:r>
    </w:p>
    <w:p w:rsidR="00E050ED" w:rsidRDefault="00D71849" w:rsidP="00E050ED">
      <w:pPr>
        <w:ind w:firstLineChars="200" w:firstLine="560"/>
        <w:rPr>
          <w:rFonts w:ascii="仿宋" w:eastAsia="仿宋" w:hAnsi="仿宋"/>
          <w:sz w:val="28"/>
          <w:szCs w:val="28"/>
        </w:rPr>
      </w:pPr>
      <w:r>
        <w:rPr>
          <w:rFonts w:ascii="仿宋" w:eastAsia="仿宋" w:hAnsi="仿宋" w:hint="eastAsia"/>
          <w:sz w:val="28"/>
          <w:szCs w:val="28"/>
        </w:rPr>
        <w:t>4号准则</w:t>
      </w:r>
      <w:r w:rsidR="00E050ED">
        <w:rPr>
          <w:rFonts w:ascii="仿宋" w:eastAsia="仿宋" w:hAnsi="仿宋" w:hint="eastAsia"/>
          <w:sz w:val="28"/>
          <w:szCs w:val="28"/>
        </w:rPr>
        <w:t>第十七条规定,企业应当根据与固定资产有关的经济利益的预期实现方式,合理选择固定资产折旧方法</w:t>
      </w:r>
      <w:r w:rsidR="00E050ED" w:rsidRPr="003B3B6C">
        <w:rPr>
          <w:rFonts w:ascii="仿宋" w:eastAsia="仿宋" w:hAnsi="仿宋" w:hint="eastAsia"/>
          <w:sz w:val="28"/>
          <w:szCs w:val="28"/>
        </w:rPr>
        <w:t>。</w:t>
      </w:r>
      <w:r w:rsidR="00E050ED">
        <w:rPr>
          <w:rFonts w:ascii="仿宋" w:eastAsia="仿宋" w:hAnsi="仿宋" w:hint="eastAsia"/>
          <w:sz w:val="28"/>
          <w:szCs w:val="28"/>
        </w:rPr>
        <w:t>可选用的折旧方法包括年限平均法、工作量法、双倍余额递减法和年数总和法等。</w:t>
      </w:r>
    </w:p>
    <w:p w:rsidR="003B3B6C" w:rsidRDefault="0092322C" w:rsidP="00E050ED">
      <w:pPr>
        <w:ind w:firstLineChars="200" w:firstLine="560"/>
        <w:rPr>
          <w:rFonts w:ascii="仿宋" w:eastAsia="仿宋" w:hAnsi="仿宋"/>
          <w:sz w:val="28"/>
          <w:szCs w:val="28"/>
        </w:rPr>
      </w:pPr>
      <w:r w:rsidRPr="000A5FE8">
        <w:rPr>
          <w:rFonts w:ascii="仿宋" w:eastAsia="仿宋" w:hAnsi="仿宋" w:hint="eastAsia"/>
          <w:sz w:val="28"/>
          <w:szCs w:val="28"/>
        </w:rPr>
        <w:t>2014年5月</w:t>
      </w:r>
      <w:r>
        <w:rPr>
          <w:rFonts w:ascii="仿宋" w:eastAsia="仿宋" w:hAnsi="仿宋" w:hint="eastAsia"/>
          <w:sz w:val="28"/>
          <w:szCs w:val="28"/>
        </w:rPr>
        <w:t>,</w:t>
      </w:r>
      <w:r w:rsidR="00BF7437" w:rsidRPr="000A5FE8">
        <w:rPr>
          <w:rFonts w:ascii="仿宋" w:eastAsia="仿宋" w:hAnsi="仿宋" w:hint="eastAsia"/>
          <w:sz w:val="28"/>
          <w:szCs w:val="28"/>
        </w:rPr>
        <w:t>国际会计准则理事会（IASB）对《国际会计准则第16号——不动产、厂场和设备》</w:t>
      </w:r>
      <w:r>
        <w:rPr>
          <w:rFonts w:ascii="仿宋" w:eastAsia="仿宋" w:hAnsi="仿宋" w:hint="eastAsia"/>
          <w:sz w:val="28"/>
          <w:szCs w:val="28"/>
        </w:rPr>
        <w:t>有关内容进行了澄清,</w:t>
      </w:r>
      <w:r w:rsidR="00BF7437" w:rsidRPr="000A5FE8">
        <w:rPr>
          <w:rFonts w:ascii="仿宋" w:eastAsia="仿宋" w:hAnsi="仿宋" w:hint="eastAsia"/>
          <w:sz w:val="28"/>
          <w:szCs w:val="28"/>
        </w:rPr>
        <w:t>企业在以包括使用固定资产在内的经济活动所产生的收入为基础进行折旧的方法，不能作为一项可选择的合理摊销方法。</w:t>
      </w:r>
      <w:r>
        <w:rPr>
          <w:rFonts w:ascii="仿宋" w:eastAsia="仿宋" w:hAnsi="仿宋" w:hint="eastAsia"/>
          <w:sz w:val="28"/>
          <w:szCs w:val="28"/>
        </w:rPr>
        <w:t>近期,</w:t>
      </w:r>
      <w:r w:rsidR="00E050ED">
        <w:rPr>
          <w:rFonts w:ascii="仿宋" w:eastAsia="仿宋" w:hAnsi="仿宋" w:hint="eastAsia"/>
          <w:sz w:val="28"/>
          <w:szCs w:val="28"/>
        </w:rPr>
        <w:t>有企业和会计师事务所提出，</w:t>
      </w:r>
      <w:r w:rsidR="003B3B6C" w:rsidRPr="003B3B6C">
        <w:rPr>
          <w:rFonts w:ascii="仿宋" w:eastAsia="仿宋" w:hAnsi="仿宋" w:hint="eastAsia"/>
          <w:sz w:val="28"/>
          <w:szCs w:val="28"/>
        </w:rPr>
        <w:t>能否以使用有关固定资产产生的收入为基础</w:t>
      </w:r>
      <w:r>
        <w:rPr>
          <w:rFonts w:ascii="仿宋" w:eastAsia="仿宋" w:hAnsi="仿宋" w:hint="eastAsia"/>
          <w:sz w:val="28"/>
          <w:szCs w:val="28"/>
        </w:rPr>
        <w:t>确定</w:t>
      </w:r>
      <w:r w:rsidR="003B3B6C" w:rsidRPr="003B3B6C">
        <w:rPr>
          <w:rFonts w:ascii="仿宋" w:eastAsia="仿宋" w:hAnsi="仿宋" w:hint="eastAsia"/>
          <w:sz w:val="28"/>
          <w:szCs w:val="28"/>
        </w:rPr>
        <w:t>折旧</w:t>
      </w:r>
      <w:r w:rsidR="003B3B6C">
        <w:rPr>
          <w:rFonts w:ascii="仿宋" w:eastAsia="仿宋" w:hAnsi="仿宋" w:hint="eastAsia"/>
          <w:sz w:val="28"/>
          <w:szCs w:val="28"/>
        </w:rPr>
        <w:t>。</w:t>
      </w:r>
    </w:p>
    <w:p w:rsidR="00087D3A" w:rsidRDefault="00087D3A" w:rsidP="00087D3A">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三、会计确认、计量和列报要求</w:t>
      </w:r>
    </w:p>
    <w:p w:rsidR="003B3B6C" w:rsidRPr="003B3B6C" w:rsidRDefault="003B3B6C" w:rsidP="003B3B6C">
      <w:pPr>
        <w:ind w:firstLineChars="200" w:firstLine="560"/>
        <w:rPr>
          <w:rFonts w:ascii="仿宋" w:eastAsia="仿宋" w:hAnsi="仿宋"/>
          <w:sz w:val="28"/>
          <w:szCs w:val="28"/>
        </w:rPr>
      </w:pPr>
      <w:r w:rsidRPr="003B3B6C">
        <w:rPr>
          <w:rFonts w:ascii="仿宋" w:eastAsia="仿宋" w:hAnsi="仿宋" w:hint="eastAsia"/>
          <w:sz w:val="28"/>
          <w:szCs w:val="28"/>
        </w:rPr>
        <w:t>企业在按照</w:t>
      </w:r>
      <w:r w:rsidR="00D71849">
        <w:rPr>
          <w:rFonts w:ascii="仿宋" w:eastAsia="仿宋" w:hAnsi="仿宋" w:hint="eastAsia"/>
          <w:sz w:val="28"/>
          <w:szCs w:val="28"/>
        </w:rPr>
        <w:t>4号准则</w:t>
      </w:r>
      <w:r w:rsidRPr="003B3B6C">
        <w:rPr>
          <w:rFonts w:ascii="仿宋" w:eastAsia="仿宋" w:hAnsi="仿宋" w:hint="eastAsia"/>
          <w:sz w:val="28"/>
          <w:szCs w:val="28"/>
        </w:rPr>
        <w:t>的规定选择固定资产折旧方法时，</w:t>
      </w:r>
      <w:r w:rsidR="0092322C">
        <w:rPr>
          <w:rFonts w:ascii="仿宋" w:eastAsia="仿宋" w:hAnsi="仿宋" w:hint="eastAsia"/>
          <w:sz w:val="28"/>
          <w:szCs w:val="28"/>
        </w:rPr>
        <w:t>应当根据与固定资产有关的经济利益的预期实现方式做出决定，而</w:t>
      </w:r>
      <w:r w:rsidRPr="003B3B6C">
        <w:rPr>
          <w:rFonts w:ascii="仿宋" w:eastAsia="仿宋" w:hAnsi="仿宋" w:hint="eastAsia"/>
          <w:sz w:val="28"/>
          <w:szCs w:val="28"/>
        </w:rPr>
        <w:t>不应以包括使用固定资产在内的经济活动所产生的收入为基础进行折旧。</w:t>
      </w:r>
      <w:r w:rsidR="0092322C">
        <w:rPr>
          <w:rFonts w:ascii="仿宋" w:eastAsia="仿宋" w:hAnsi="仿宋" w:hint="eastAsia"/>
          <w:sz w:val="28"/>
          <w:szCs w:val="28"/>
        </w:rPr>
        <w:t>理由是</w:t>
      </w:r>
      <w:r w:rsidRPr="003B3B6C">
        <w:rPr>
          <w:rFonts w:ascii="仿宋" w:eastAsia="仿宋" w:hAnsi="仿宋" w:hint="eastAsia"/>
          <w:sz w:val="28"/>
          <w:szCs w:val="28"/>
        </w:rPr>
        <w:t>，收入可能受到销售活动、流程以及售价与销售量变动的影响，收入中的价格因素还可能受到通货膨胀的影响，这些因素与固定资产有关经</w:t>
      </w:r>
      <w:r w:rsidRPr="003B3B6C">
        <w:rPr>
          <w:rFonts w:ascii="仿宋" w:eastAsia="仿宋" w:hAnsi="仿宋" w:hint="eastAsia"/>
          <w:sz w:val="28"/>
          <w:szCs w:val="28"/>
        </w:rPr>
        <w:lastRenderedPageBreak/>
        <w:t>济利益的实现方式无关。</w:t>
      </w:r>
    </w:p>
    <w:p w:rsidR="00087D3A" w:rsidRDefault="00087D3A" w:rsidP="00087D3A">
      <w:pPr>
        <w:ind w:left="555"/>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831A21" w:rsidRDefault="00831A21" w:rsidP="00831A21">
      <w:pPr>
        <w:ind w:firstLineChars="200" w:firstLine="560"/>
        <w:rPr>
          <w:rFonts w:ascii="仿宋" w:eastAsia="仿宋" w:hAnsi="仿宋"/>
          <w:sz w:val="28"/>
          <w:szCs w:val="28"/>
        </w:rPr>
      </w:pPr>
      <w:r w:rsidRPr="003B3B6C">
        <w:rPr>
          <w:rFonts w:ascii="仿宋" w:eastAsia="仿宋" w:hAnsi="仿宋" w:hint="eastAsia"/>
          <w:sz w:val="28"/>
          <w:szCs w:val="28"/>
        </w:rPr>
        <w:t>201</w:t>
      </w:r>
      <w:r>
        <w:rPr>
          <w:rFonts w:ascii="仿宋" w:eastAsia="仿宋" w:hAnsi="仿宋" w:hint="eastAsia"/>
          <w:sz w:val="28"/>
          <w:szCs w:val="28"/>
        </w:rPr>
        <w:t>7</w:t>
      </w:r>
      <w:r w:rsidRPr="003B3B6C">
        <w:rPr>
          <w:rFonts w:ascii="仿宋" w:eastAsia="仿宋" w:hAnsi="仿宋" w:hint="eastAsia"/>
          <w:sz w:val="28"/>
          <w:szCs w:val="28"/>
        </w:rPr>
        <w:t>年1月1日至本解释发布之日期间的有关业务未按以上规定进行处理的，应当进行追溯调整，追溯调整不切实可行的除外。</w:t>
      </w:r>
    </w:p>
    <w:p w:rsidR="00AA0F1F" w:rsidRPr="00831A21" w:rsidRDefault="00AA0F1F" w:rsidP="00831A21">
      <w:pPr>
        <w:ind w:firstLineChars="200" w:firstLine="560"/>
        <w:rPr>
          <w:rFonts w:ascii="仿宋" w:eastAsia="仿宋" w:hAnsi="仿宋"/>
          <w:sz w:val="28"/>
          <w:szCs w:val="28"/>
        </w:rPr>
      </w:pPr>
    </w:p>
    <w:sectPr w:rsidR="00AA0F1F" w:rsidRPr="00831A21"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5A4"/>
    <w:multiLevelType w:val="hybridMultilevel"/>
    <w:tmpl w:val="C13C92D6"/>
    <w:lvl w:ilvl="0" w:tplc="5D2261B8">
      <w:start w:val="1"/>
      <w:numFmt w:val="japaneseCounting"/>
      <w:lvlText w:val="%1、"/>
      <w:lvlJc w:val="left"/>
      <w:pPr>
        <w:ind w:left="1275" w:hanging="720"/>
      </w:pPr>
      <w:rPr>
        <w:rFonts w:hint="default"/>
      </w:rPr>
    </w:lvl>
    <w:lvl w:ilvl="1" w:tplc="C792BD5A">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D3A"/>
    <w:rsid w:val="000436F6"/>
    <w:rsid w:val="000866B1"/>
    <w:rsid w:val="00087D3A"/>
    <w:rsid w:val="000E2A46"/>
    <w:rsid w:val="0015749A"/>
    <w:rsid w:val="001B22CD"/>
    <w:rsid w:val="001E1479"/>
    <w:rsid w:val="002377F2"/>
    <w:rsid w:val="0029244D"/>
    <w:rsid w:val="002C62D4"/>
    <w:rsid w:val="00383530"/>
    <w:rsid w:val="003A26C1"/>
    <w:rsid w:val="003B3B6C"/>
    <w:rsid w:val="003E6059"/>
    <w:rsid w:val="00401C92"/>
    <w:rsid w:val="004D4A98"/>
    <w:rsid w:val="00514F75"/>
    <w:rsid w:val="0067197C"/>
    <w:rsid w:val="007030C0"/>
    <w:rsid w:val="00831A21"/>
    <w:rsid w:val="00881147"/>
    <w:rsid w:val="0092322C"/>
    <w:rsid w:val="0094161A"/>
    <w:rsid w:val="00A14A7A"/>
    <w:rsid w:val="00AA0F1F"/>
    <w:rsid w:val="00BB4FE0"/>
    <w:rsid w:val="00BD6923"/>
    <w:rsid w:val="00BE71D7"/>
    <w:rsid w:val="00BF7437"/>
    <w:rsid w:val="00CD7475"/>
    <w:rsid w:val="00CE6AFF"/>
    <w:rsid w:val="00D71849"/>
    <w:rsid w:val="00DF152B"/>
    <w:rsid w:val="00E050ED"/>
    <w:rsid w:val="00E05619"/>
    <w:rsid w:val="00E769C2"/>
    <w:rsid w:val="00ED1BBB"/>
    <w:rsid w:val="00EE1C3D"/>
    <w:rsid w:val="00EF73E8"/>
    <w:rsid w:val="00F01DD4"/>
    <w:rsid w:val="00F204E6"/>
    <w:rsid w:val="00F41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3A"/>
    <w:pPr>
      <w:ind w:firstLineChars="200" w:firstLine="420"/>
    </w:pPr>
  </w:style>
</w:styles>
</file>

<file path=word/webSettings.xml><?xml version="1.0" encoding="utf-8"?>
<w:webSettings xmlns:r="http://schemas.openxmlformats.org/officeDocument/2006/relationships" xmlns:w="http://schemas.openxmlformats.org/wordprocessingml/2006/main">
  <w:divs>
    <w:div w:id="186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5</cp:revision>
  <cp:lastPrinted>2016-11-01T07:26:00Z</cp:lastPrinted>
  <dcterms:created xsi:type="dcterms:W3CDTF">2017-01-04T09:21:00Z</dcterms:created>
  <dcterms:modified xsi:type="dcterms:W3CDTF">2017-01-04T09:36:00Z</dcterms:modified>
</cp:coreProperties>
</file>