
<file path=[Content_Types].xml><?xml version="1.0" encoding="utf-8"?>
<Types xmlns="http://schemas.openxmlformats.org/package/2006/content-types">
  <Default Extension="xml" ContentType="application/xml"/>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themeColor="background2"/>
  <w:body>
    <w:p>
      <w:pPr>
        <w:spacing w:before="240" w:after="240" w:line="560" w:lineRule="exact"/>
        <w:jc w:val="center"/>
        <w:outlineLvl w:val="0"/>
        <w:rPr>
          <w:rFonts w:ascii="Times New Roman" w:hAnsi="Times New Roman" w:eastAsia="华文中宋" w:cs="Arial"/>
          <w:b/>
          <w:sz w:val="44"/>
          <w:szCs w:val="44"/>
        </w:rPr>
      </w:pPr>
      <w:r>
        <w:rPr>
          <w:rFonts w:ascii="Times New Roman" w:hAnsi="Times New Roman" w:eastAsia="华文中宋" w:cs="Arial"/>
          <w:b/>
          <w:sz w:val="44"/>
          <w:szCs w:val="44"/>
        </w:rPr>
        <w:t xml:space="preserve"> </w:t>
      </w:r>
      <w:r>
        <w:rPr>
          <w:rFonts w:hint="eastAsia" w:ascii="Times New Roman" w:hAnsi="Times New Roman" w:eastAsia="华文中宋" w:cs="Arial"/>
          <w:b/>
          <w:sz w:val="44"/>
          <w:szCs w:val="44"/>
        </w:rPr>
        <w:t>银行审计函证数据标准指南</w:t>
      </w:r>
    </w:p>
    <w:p>
      <w:pPr>
        <w:pStyle w:val="40"/>
        <w:wordWrap/>
        <w:spacing w:after="0" w:line="560" w:lineRule="exact"/>
      </w:pPr>
      <w:r>
        <w:rPr>
          <w:rFonts w:hint="eastAsia"/>
        </w:rPr>
        <w:t>为进一步规范银行审计函证及回函工作，维护金融市场秩序，稳步推进银行函证数字化、标准化建设，财政部遵循《可扩展商业报告语言（XBRL）技术规范》（GB/T 25500-2010）系列国家标准，研究起草了《银行审计函证数据标准》（以下简称“函证数据标准”）。函证数据标准是一种计算机可执行的XBRL分类标准，在语法（技术规范）上遵循XBRL技术规范系列国家标准，在语义上遵循《银行函证及回函工作操作指引》（财办会〔2020〕21号），以银行询证函标准格式为基础，反映了银行询证函承载的全部信息，以便会计师事务所和银行在信息化条件下集中统一地处理函证业务，进一步提升函证程序的质量与效率，推动函证方式方法与实现路径的变化。为方便使用函证数据标准，我们起草了函证数据标准元素清单和本指南。</w:t>
      </w:r>
    </w:p>
    <w:p>
      <w:pPr>
        <w:pStyle w:val="40"/>
        <w:wordWrap/>
        <w:spacing w:after="0" w:line="560" w:lineRule="exact"/>
      </w:pPr>
      <w:r>
        <w:rPr>
          <w:rFonts w:hint="eastAsia"/>
        </w:rPr>
        <w:t>本指南作为函证数据标准使用和实例文档解析的说明文件，应与元素清单配套使用，旨在帮助具备一定</w:t>
      </w:r>
      <w:r>
        <w:t>XBRL</w:t>
      </w:r>
      <w:r>
        <w:rPr>
          <w:rFonts w:hint="eastAsia"/>
        </w:rPr>
        <w:t>知识的使用者了解函证数据标准的架构、内容以及实例文档的要素和解析方式。上述使用者包括银行、会计师事务所、第三方数字函证平台、被审计单位和相关软件开发者等。</w:t>
      </w:r>
    </w:p>
    <w:p>
      <w:pPr>
        <w:pStyle w:val="37"/>
        <w:numPr>
          <w:ilvl w:val="0"/>
          <w:numId w:val="2"/>
        </w:numPr>
        <w:wordWrap/>
        <w:spacing w:line="560" w:lineRule="exact"/>
        <w:ind w:firstLineChars="0"/>
      </w:pPr>
      <w:r>
        <w:rPr>
          <w:rFonts w:hint="eastAsia"/>
        </w:rPr>
        <w:t>函证数据标准涵盖的内容</w:t>
      </w:r>
    </w:p>
    <w:p>
      <w:pPr>
        <w:pStyle w:val="40"/>
        <w:wordWrap/>
        <w:spacing w:after="0" w:line="560" w:lineRule="exact"/>
      </w:pPr>
      <w:r>
        <w:rPr>
          <w:rFonts w:hint="eastAsia"/>
        </w:rPr>
        <w:t>函证数据标准对《银行询证函》中的信息进行了XBRL标记，表1列示了函证数据标准标记的所有字段。</w:t>
      </w:r>
    </w:p>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 xml:space="preserve">表 </w:t>
      </w:r>
      <w:r>
        <w:rPr>
          <w:rFonts w:ascii="Times New Roman" w:hAnsi="Times New Roman" w:eastAsia="仿宋_GB2312" w:cs="Arial"/>
          <w:b/>
          <w:bCs/>
          <w:color w:val="000000"/>
          <w:sz w:val="24"/>
          <w:szCs w:val="20"/>
        </w:rPr>
        <w:fldChar w:fldCharType="begin"/>
      </w:r>
      <w:r>
        <w:rPr>
          <w:rFonts w:ascii="Times New Roman" w:hAnsi="Times New Roman" w:eastAsia="仿宋_GB2312" w:cs="Arial"/>
          <w:b/>
          <w:bCs/>
          <w:color w:val="000000"/>
          <w:sz w:val="24"/>
          <w:szCs w:val="20"/>
        </w:rPr>
        <w:instrText xml:space="preserve"> </w:instrText>
      </w:r>
      <w:r>
        <w:rPr>
          <w:rFonts w:hint="eastAsia" w:ascii="Times New Roman" w:hAnsi="Times New Roman" w:eastAsia="仿宋_GB2312" w:cs="Arial"/>
          <w:b/>
          <w:bCs/>
          <w:color w:val="000000"/>
          <w:sz w:val="24"/>
          <w:szCs w:val="20"/>
        </w:rPr>
        <w:instrText xml:space="preserve">SEQ 表 \* ARABIC</w:instrText>
      </w:r>
      <w:r>
        <w:rPr>
          <w:rFonts w:ascii="Times New Roman" w:hAnsi="Times New Roman" w:eastAsia="仿宋_GB2312" w:cs="Arial"/>
          <w:b/>
          <w:bCs/>
          <w:color w:val="000000"/>
          <w:sz w:val="24"/>
          <w:szCs w:val="20"/>
        </w:rPr>
        <w:instrText xml:space="preserve"> </w:instrText>
      </w:r>
      <w:r>
        <w:rPr>
          <w:rFonts w:ascii="Times New Roman" w:hAnsi="Times New Roman" w:eastAsia="仿宋_GB2312" w:cs="Arial"/>
          <w:b/>
          <w:bCs/>
          <w:color w:val="000000"/>
          <w:sz w:val="24"/>
          <w:szCs w:val="20"/>
        </w:rPr>
        <w:fldChar w:fldCharType="separate"/>
      </w:r>
      <w:r>
        <w:rPr>
          <w:rFonts w:ascii="Times New Roman" w:hAnsi="Times New Roman" w:eastAsia="仿宋_GB2312" w:cs="Arial"/>
          <w:b/>
          <w:bCs/>
          <w:color w:val="000000"/>
          <w:sz w:val="24"/>
          <w:szCs w:val="20"/>
        </w:rPr>
        <w:t>1</w:t>
      </w:r>
      <w:r>
        <w:rPr>
          <w:rFonts w:ascii="Times New Roman" w:hAnsi="Times New Roman" w:eastAsia="仿宋_GB2312" w:cs="Arial"/>
          <w:b/>
          <w:bCs/>
          <w:color w:val="000000"/>
          <w:sz w:val="24"/>
          <w:szCs w:val="20"/>
        </w:rPr>
        <w:fldChar w:fldCharType="end"/>
      </w:r>
      <w:r>
        <w:rPr>
          <w:rFonts w:hint="eastAsia" w:ascii="Times New Roman" w:hAnsi="Times New Roman" w:eastAsia="仿宋_GB2312" w:cs="Arial"/>
          <w:b/>
          <w:bCs/>
          <w:color w:val="000000"/>
          <w:sz w:val="24"/>
          <w:szCs w:val="20"/>
        </w:rPr>
        <w:t>：函证数据标准标记内容</w:t>
      </w:r>
    </w:p>
    <w:tbl>
      <w:tblPr>
        <w:tblStyle w:val="15"/>
        <w:tblW w:w="8569"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724"/>
        <w:gridCol w:w="1522"/>
        <w:gridCol w:w="1701"/>
        <w:gridCol w:w="1560"/>
        <w:gridCol w:w="306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tblHeader/>
          <w:jc w:val="center"/>
        </w:trPr>
        <w:tc>
          <w:tcPr>
            <w:tcW w:w="724" w:type="dxa"/>
            <w:shd w:val="clear" w:color="auto" w:fill="auto"/>
            <w:vAlign w:val="center"/>
          </w:tcPr>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序号</w:t>
            </w:r>
          </w:p>
        </w:tc>
        <w:tc>
          <w:tcPr>
            <w:tcW w:w="1522" w:type="dxa"/>
            <w:shd w:val="clear" w:color="auto" w:fill="auto"/>
            <w:vAlign w:val="center"/>
          </w:tcPr>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分组名称</w:t>
            </w:r>
          </w:p>
        </w:tc>
        <w:tc>
          <w:tcPr>
            <w:tcW w:w="1701" w:type="dxa"/>
            <w:vAlign w:val="center"/>
          </w:tcPr>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字段名称</w:t>
            </w:r>
          </w:p>
        </w:tc>
        <w:tc>
          <w:tcPr>
            <w:tcW w:w="1560" w:type="dxa"/>
            <w:vAlign w:val="center"/>
          </w:tcPr>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数据类型</w:t>
            </w:r>
          </w:p>
        </w:tc>
        <w:tc>
          <w:tcPr>
            <w:tcW w:w="3062" w:type="dxa"/>
            <w:shd w:val="clear" w:color="auto" w:fill="auto"/>
            <w:vAlign w:val="center"/>
          </w:tcPr>
          <w:p>
            <w:pPr>
              <w:spacing w:after="0" w:line="240" w:lineRule="auto"/>
              <w:jc w:val="center"/>
              <w:rPr>
                <w:rFonts w:ascii="Times New Roman" w:hAnsi="Times New Roman" w:eastAsia="仿宋_GB2312" w:cs="Arial"/>
                <w:b/>
                <w:bCs/>
                <w:color w:val="000000"/>
                <w:sz w:val="24"/>
                <w:szCs w:val="20"/>
              </w:rPr>
            </w:pPr>
            <w:r>
              <w:rPr>
                <w:rFonts w:hint="eastAsia" w:ascii="Times New Roman" w:hAnsi="Times New Roman" w:eastAsia="仿宋_GB2312" w:cs="Arial"/>
                <w:b/>
                <w:bCs/>
                <w:color w:val="000000"/>
                <w:sz w:val="24"/>
                <w:szCs w:val="20"/>
              </w:rPr>
              <w:t>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询证函基本信息</w:t>
            </w: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询证银行</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w:t>
            </w:r>
          </w:p>
        </w:tc>
        <w:tc>
          <w:tcPr>
            <w:tcW w:w="1522" w:type="dxa"/>
            <w:vMerge w:val="continue"/>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被询证企业</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w:t>
            </w:r>
          </w:p>
        </w:tc>
        <w:tc>
          <w:tcPr>
            <w:tcW w:w="1522" w:type="dxa"/>
            <w:vMerge w:val="continue"/>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会计师事务所</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w:t>
            </w:r>
          </w:p>
        </w:tc>
        <w:tc>
          <w:tcPr>
            <w:tcW w:w="1522" w:type="dxa"/>
            <w:vMerge w:val="continue"/>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财务报表年份</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年份型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w:t>
            </w:r>
          </w:p>
        </w:tc>
        <w:tc>
          <w:tcPr>
            <w:tcW w:w="1522" w:type="dxa"/>
            <w:vMerge w:val="continue"/>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回函地址</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联系人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电话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传真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邮编</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电子邮箱</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支取办理询证函回函服务费用的账户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函证基准日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13</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银行存款信息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利率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填写函证基准日适用的年化利率，如不适用则填写“参见备注”，在“备注”栏进行说明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账户类型</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是否属于资金归集账户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起始日期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仅适用于约定期限的账户类型，对于活期存款，则不需要填写“起始日期”和“终止日期”，在“备注”中填写“活期”字样即可</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终止日期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是否存在冻结、担保或其他使用限制</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23</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24</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银行借款信息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借款人名称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借款日期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29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针对垫款类业务，可根据实际情况以空白列示，并应在“备注”中进行说明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利率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填写函证基准日适用的年化利率，如不适用则填写“参见备注”，在“备注”栏进行说明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xml:space="preserve">抵（质）押品/ 担保人 </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32</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33</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注销账户信息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起始日期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截止日期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38</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注销账户日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39</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被审计单位作为委托人的委托贷款信息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银行结算账号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资金借入方</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利率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填写函证基准日适用的年化利率，如不适用则填写“参见备注”，在“备注”栏进行说明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贷款起止日期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46</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47</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被审计单位作为借款人的委托贷款信息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银行结算账号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49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资金借出方</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利率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填写函证基准日适用的年化利率，如不适用则填写“参见备注”，在“备注”栏进行说明</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贷款起止日期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54</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55</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xml:space="preserve">被审计单位为其他单位提供的，银行作为受益人的担保信息 </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被担保人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担保方式</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59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担保合同编号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61</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62</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xml:space="preserve">银行向被审计单位提供的担保信息（如保函业务、备用信用证业务等） </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被担保人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担保方式</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应根据被函证银行业金融机构开立保函、备用信用证等的有效期填写</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担保合同编号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68</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69</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被审计单位为出票人且由银行承兑而尚未支付的银行承兑汇票信息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银行承兑汇票号码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结算账户账号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票面金额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出票日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75</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抵/质押品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76</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被审计单位向银行已贴现而尚未到期的商业汇票信息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商业汇票号码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承兑人名称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79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票面金额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出票日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贴现日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贴现率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百分比型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84</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贴现净额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85</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被审计单位为持票人且由贵行托收的商业汇票信息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商业汇票号码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承兑人名称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票面金额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89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出票日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90</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91</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被审计单位为申请人、由银行开具的、未履行完毕的不可撤销信用证</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信用证号码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受益人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信用证金额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可根据信用证业务的有效期进行填写</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96</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未使用金额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97</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被审计单位与银行之间未履行完毕的外汇买卖合约</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类别</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主要包括即期结售汇、远期结售汇、掉期结售汇、即期外汇买卖、远期外汇买卖、掉期外汇买卖等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合约号码</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99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银行卖出币种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银行买入币种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未履行的合约买卖金额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被审计单位与被函证银行业金融机构之间全部尚未履行完毕的结售汇和外汇买卖合约（包括掉期交易尚未履行交割的部分）金额</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汇率</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百分比型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103</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交收日期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104</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被审计单位存放于银行托管的证券或其他产权文件</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证券或其他产权文件名称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105</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证券代码或产权文件编号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106</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数量</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整数型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107</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108</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109</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被审计单位购买的由银行发行的未到期银行理财产品</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产品名称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产品类型</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持有份额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整数型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产品净值</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114</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购买日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对于封闭式产品，可根据实际起息日填写“购买日”信息，如为开放性产品，填写“不适用”</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115</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到期日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对于封闭式产品，可根据产品到期日填写“到期日”信息，如为开放性产品，填写“不适用”</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116</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是否被用于担保或存在其他使用限制</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117</w:t>
            </w:r>
          </w:p>
        </w:tc>
        <w:tc>
          <w:tcPr>
            <w:tcW w:w="1522"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注册会计师认为重大且应予函证的其他事项</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其他事项</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此项可填列1-13项内容的补充和说明；注册会计师认为重大且应予函证的1-13项以外的其他事项，如欠银行业金融机构的其他负债或者或有负债、已授予不可撤销的信用额度、除外汇买卖外的其他衍生品交易、贵金属交易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118</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资金归集（资金池或其他资金管理）账户具体信息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资金提供机构名称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119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资金提供机构账号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资金使用机构名称</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资金使用机构账号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122</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123</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截至函证基准日拨入或拨出资金余额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124</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125</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验资业务询证函信息</w:t>
            </w: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函证基准日</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126</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缴款人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127</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缴入日期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ascii="Times New Roman" w:hAnsi="Times New Roman" w:eastAsia="仿宋_GB2312" w:cs="Arial"/>
                <w:color w:val="000000"/>
                <w:sz w:val="24"/>
                <w:szCs w:val="20"/>
              </w:rPr>
              <w:t>128</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账户性质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129</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银行账号</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130</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币种</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131</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缴纳出资金额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数值型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132</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款项用途</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133</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款项来源</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134</w:t>
            </w:r>
          </w:p>
        </w:tc>
        <w:tc>
          <w:tcPr>
            <w:tcW w:w="1522" w:type="dxa"/>
            <w:vMerge w:val="continue"/>
            <w:tcBorders>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备注</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135</w:t>
            </w:r>
          </w:p>
        </w:tc>
        <w:tc>
          <w:tcPr>
            <w:tcW w:w="1522" w:type="dxa"/>
            <w:vMerge w:val="restart"/>
            <w:tcBorders>
              <w:top w:val="single" w:color="auto" w:sz="8" w:space="0"/>
              <w:left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银行询证结论或银行确认信息</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银行询证结论或银行确认</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采用银行询证函（格式一）或执行验资业务银行询证的，由被询证银行填列银行询证结论；采用银行询证函（格式二）的，由被询证银行确认询证函中填列信息的正确性和完整性。</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136</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经办日期</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日期型</w:t>
            </w:r>
          </w:p>
        </w:tc>
        <w:tc>
          <w:tcPr>
            <w:tcW w:w="3062" w:type="dxa"/>
            <w:tcBorders>
              <w:top w:val="single" w:color="auto" w:sz="8" w:space="0"/>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137</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经办人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top w:val="single" w:color="auto" w:sz="8" w:space="0"/>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138</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经办人职务</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139</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经办人电话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140</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复核人</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141</w:t>
            </w:r>
          </w:p>
        </w:tc>
        <w:tc>
          <w:tcPr>
            <w:tcW w:w="1522" w:type="dxa"/>
            <w:vMerge w:val="continue"/>
            <w:tcBorders>
              <w:left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复核人职务</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724" w:type="dxa"/>
            <w:tcBorders>
              <w:top w:val="single" w:color="auto" w:sz="8" w:space="0"/>
              <w:bottom w:val="single" w:color="auto" w:sz="8" w:space="0"/>
              <w:right w:val="single" w:color="auto" w:sz="8" w:space="0"/>
            </w:tcBorders>
            <w:shd w:val="clear" w:color="auto" w:fill="auto"/>
            <w:noWrap/>
            <w:vAlign w:val="center"/>
          </w:tcPr>
          <w:p>
            <w:pPr>
              <w:spacing w:after="0" w:line="240" w:lineRule="auto"/>
              <w:jc w:val="center"/>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142</w:t>
            </w:r>
          </w:p>
        </w:tc>
        <w:tc>
          <w:tcPr>
            <w:tcW w:w="1522" w:type="dxa"/>
            <w:vMerge w:val="continue"/>
            <w:tcBorders>
              <w:left w:val="single" w:color="auto" w:sz="8" w:space="0"/>
              <w:bottom w:val="single" w:color="auto" w:sz="8" w:space="0"/>
              <w:right w:val="single" w:color="auto" w:sz="8" w:space="0"/>
            </w:tcBorders>
            <w:vAlign w:val="center"/>
          </w:tcPr>
          <w:p>
            <w:pPr>
              <w:spacing w:after="0" w:line="240" w:lineRule="auto"/>
              <w:rPr>
                <w:rFonts w:ascii="Times New Roman" w:hAnsi="Times New Roman" w:eastAsia="仿宋_GB2312" w:cs="Arial"/>
                <w:color w:val="000000"/>
                <w:sz w:val="24"/>
                <w:szCs w:val="20"/>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复核人电话</w:t>
            </w:r>
          </w:p>
        </w:tc>
        <w:tc>
          <w:tcPr>
            <w:tcW w:w="1560" w:type="dxa"/>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仿宋_GB2312" w:cs="Arial"/>
                <w:color w:val="000000"/>
                <w:sz w:val="24"/>
                <w:szCs w:val="20"/>
              </w:rPr>
            </w:pPr>
            <w:r>
              <w:rPr>
                <w:rFonts w:hint="eastAsia" w:ascii="Times New Roman" w:hAnsi="Times New Roman" w:eastAsia="仿宋_GB2312" w:cs="Arial"/>
                <w:color w:val="000000"/>
                <w:sz w:val="24"/>
                <w:szCs w:val="20"/>
              </w:rPr>
              <w:t>字符型</w:t>
            </w:r>
          </w:p>
        </w:tc>
        <w:tc>
          <w:tcPr>
            <w:tcW w:w="3062" w:type="dxa"/>
            <w:tcBorders>
              <w:left w:val="single" w:color="auto" w:sz="8" w:space="0"/>
              <w:bottom w:val="single" w:color="auto" w:sz="8" w:space="0"/>
            </w:tcBorders>
            <w:shd w:val="clear" w:color="auto" w:fill="auto"/>
            <w:noWrap/>
            <w:vAlign w:val="center"/>
          </w:tcPr>
          <w:p>
            <w:pPr>
              <w:spacing w:after="0" w:line="240" w:lineRule="auto"/>
              <w:rPr>
                <w:rFonts w:ascii="Times New Roman" w:hAnsi="Times New Roman" w:eastAsia="仿宋_GB2312" w:cs="Arial"/>
                <w:color w:val="000000"/>
                <w:sz w:val="24"/>
                <w:szCs w:val="20"/>
              </w:rPr>
            </w:pPr>
          </w:p>
        </w:tc>
      </w:tr>
    </w:tbl>
    <w:p>
      <w:pPr>
        <w:pStyle w:val="37"/>
        <w:numPr>
          <w:ilvl w:val="0"/>
          <w:numId w:val="2"/>
        </w:numPr>
        <w:wordWrap/>
        <w:spacing w:line="560" w:lineRule="exact"/>
        <w:ind w:firstLineChars="0"/>
      </w:pPr>
      <w:r>
        <w:rPr>
          <w:rFonts w:hint="eastAsia"/>
        </w:rPr>
        <w:t>函证数据标准的架构</w:t>
      </w:r>
    </w:p>
    <w:p>
      <w:pPr>
        <w:pStyle w:val="40"/>
        <w:wordWrap/>
        <w:spacing w:after="0" w:line="560" w:lineRule="exact"/>
      </w:pPr>
      <w:r>
        <w:rPr>
          <w:rFonts w:hint="eastAsia"/>
        </w:rPr>
        <w:t>函证数据标准</w:t>
      </w:r>
      <w:r>
        <w:t>的</w:t>
      </w:r>
      <w:r>
        <w:rPr>
          <w:rFonts w:hint="eastAsia"/>
        </w:rPr>
        <w:t>架构分为逻辑设计和物理结构两个层面。逻辑设计是指以XBRL语言反映《银行询证函》的内容信息。物理结构是指函证数据标准的各文件和文件夹的层级设计与组织方式。</w:t>
      </w:r>
    </w:p>
    <w:p>
      <w:pPr>
        <w:pStyle w:val="38"/>
        <w:wordWrap/>
        <w:spacing w:line="560" w:lineRule="exact"/>
        <w:rPr>
          <w:rFonts w:ascii="Times New Roman" w:hAnsi="Times New Roman"/>
          <w:b w:val="0"/>
        </w:rPr>
      </w:pPr>
      <w:r>
        <w:rPr>
          <w:rFonts w:hint="eastAsia" w:ascii="Times New Roman" w:hAnsi="Times New Roman"/>
        </w:rPr>
        <w:t>（一）逻辑设计</w:t>
      </w:r>
    </w:p>
    <w:p>
      <w:pPr>
        <w:pStyle w:val="40"/>
        <w:wordWrap/>
        <w:spacing w:after="0" w:line="560" w:lineRule="exact"/>
      </w:pPr>
      <w:r>
        <w:rPr>
          <w:rFonts w:hint="eastAsia"/>
        </w:rPr>
        <w:t>函证数据标准的逻辑设计具体如下：</w:t>
      </w:r>
    </w:p>
    <w:p>
      <w:pPr>
        <w:pStyle w:val="39"/>
        <w:wordWrap/>
        <w:spacing w:after="0" w:line="560" w:lineRule="exact"/>
      </w:pPr>
      <w:r>
        <w:t>1</w:t>
      </w:r>
      <w:r>
        <w:rPr>
          <w:rFonts w:hint="eastAsia"/>
        </w:rPr>
        <w:t>．元素</w:t>
      </w:r>
    </w:p>
    <w:p>
      <w:pPr>
        <w:pStyle w:val="40"/>
        <w:wordWrap/>
        <w:spacing w:after="0" w:line="560" w:lineRule="exact"/>
      </w:pPr>
      <w:r>
        <w:rPr>
          <w:rFonts w:hint="eastAsia"/>
        </w:rPr>
        <w:t>函证数据标准中的元素是依据GB/T25500-2010《可扩展商业报告语言（XBRL）技术规范》系列国家标准，根据《银行函证及回函工作操作指引》规定的标准格式中包含的信息提取的，用于定义和描述《银行询证函》披露的会计概念和业务概念。函证数据标准中使用的概念（元素）总数为172个。</w:t>
      </w:r>
    </w:p>
    <w:p>
      <w:pPr>
        <w:pStyle w:val="40"/>
        <w:wordWrap/>
        <w:spacing w:after="0" w:line="560" w:lineRule="exact"/>
      </w:pPr>
      <w:r>
        <w:rPr>
          <w:rFonts w:hint="eastAsia"/>
        </w:rPr>
        <w:t>函证数据标准使用了GB/T25500-2010《可扩展商业报告语言（XBRL）技术规范》系列国家标准所定义的3类元素（替换组）：数据项（Item），超立方体项（HypercubeItem），维度项（DimensionItem）。表</w:t>
      </w:r>
      <w:r>
        <w:t>2</w:t>
      </w:r>
      <w:r>
        <w:rPr>
          <w:rFonts w:hint="eastAsia"/>
        </w:rPr>
        <w:t>列示了函证数据标准中3类元素的使用情况。</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2</w:t>
      </w:r>
      <w:r>
        <w:rPr>
          <w:b/>
          <w:sz w:val="24"/>
          <w:szCs w:val="24"/>
        </w:rPr>
        <w:fldChar w:fldCharType="end"/>
      </w:r>
      <w:r>
        <w:rPr>
          <w:rFonts w:hint="eastAsia"/>
          <w:b/>
          <w:sz w:val="24"/>
          <w:szCs w:val="24"/>
        </w:rPr>
        <w:t>：函证数据标准使用的元素种类（替换组）</w:t>
      </w:r>
    </w:p>
    <w:tbl>
      <w:tblPr>
        <w:tblStyle w:val="15"/>
        <w:tblW w:w="659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7"/>
        <w:gridCol w:w="18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777"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元素种类（替换组）</w:t>
            </w:r>
          </w:p>
        </w:tc>
        <w:tc>
          <w:tcPr>
            <w:tcW w:w="1817"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77"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数据项（</w:t>
            </w:r>
            <w:r>
              <w:rPr>
                <w:rFonts w:ascii="Times New Roman" w:hAnsi="Times New Roman" w:eastAsia="仿宋_GB2312"/>
                <w:sz w:val="24"/>
                <w:szCs w:val="24"/>
              </w:rPr>
              <w:t>Item</w:t>
            </w:r>
            <w:r>
              <w:rPr>
                <w:rFonts w:hint="eastAsia" w:ascii="Times New Roman" w:hAnsi="Times New Roman" w:eastAsia="仿宋_GB2312"/>
                <w:sz w:val="24"/>
                <w:szCs w:val="24"/>
              </w:rPr>
              <w:t>）</w:t>
            </w:r>
          </w:p>
        </w:tc>
        <w:tc>
          <w:tcPr>
            <w:tcW w:w="18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77"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超立方体项（</w:t>
            </w:r>
            <w:r>
              <w:rPr>
                <w:rFonts w:ascii="Times New Roman" w:hAnsi="Times New Roman" w:eastAsia="仿宋_GB2312"/>
                <w:sz w:val="24"/>
                <w:szCs w:val="24"/>
              </w:rPr>
              <w:t>HypercubeItem</w:t>
            </w:r>
            <w:r>
              <w:rPr>
                <w:rFonts w:hint="eastAsia" w:ascii="Times New Roman" w:hAnsi="Times New Roman" w:eastAsia="仿宋_GB2312"/>
                <w:sz w:val="24"/>
                <w:szCs w:val="24"/>
              </w:rPr>
              <w:t>）</w:t>
            </w:r>
          </w:p>
        </w:tc>
        <w:tc>
          <w:tcPr>
            <w:tcW w:w="18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77"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维度项（</w:t>
            </w:r>
            <w:r>
              <w:rPr>
                <w:rFonts w:ascii="Times New Roman" w:hAnsi="Times New Roman" w:eastAsia="仿宋_GB2312"/>
                <w:sz w:val="24"/>
                <w:szCs w:val="24"/>
              </w:rPr>
              <w:t>DimensionItem</w:t>
            </w:r>
            <w:r>
              <w:rPr>
                <w:rFonts w:hint="eastAsia" w:ascii="Times New Roman" w:hAnsi="Times New Roman" w:eastAsia="仿宋_GB2312"/>
                <w:sz w:val="24"/>
                <w:szCs w:val="24"/>
              </w:rPr>
              <w:t>）</w:t>
            </w:r>
          </w:p>
        </w:tc>
        <w:tc>
          <w:tcPr>
            <w:tcW w:w="18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777"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合计</w:t>
            </w:r>
          </w:p>
        </w:tc>
        <w:tc>
          <w:tcPr>
            <w:tcW w:w="18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176</w:t>
            </w:r>
          </w:p>
        </w:tc>
      </w:tr>
    </w:tbl>
    <w:p>
      <w:pPr>
        <w:pStyle w:val="41"/>
        <w:wordWrap/>
        <w:spacing w:after="0" w:line="560" w:lineRule="exact"/>
      </w:pPr>
      <w:r>
        <w:rPr>
          <w:rFonts w:hint="eastAsia"/>
        </w:rPr>
        <w:t>（1）元素属性</w:t>
      </w:r>
    </w:p>
    <w:p>
      <w:pPr>
        <w:pStyle w:val="40"/>
        <w:wordWrap/>
        <w:spacing w:after="0" w:line="560" w:lineRule="exact"/>
      </w:pPr>
      <w:r>
        <w:rPr>
          <w:rFonts w:hint="eastAsia"/>
        </w:rPr>
        <w:t>函证数据标准中的</w:t>
      </w:r>
      <w:r>
        <w:t>每</w:t>
      </w:r>
      <w:r>
        <w:rPr>
          <w:rFonts w:hint="eastAsia"/>
        </w:rPr>
        <w:t>项</w:t>
      </w:r>
      <w:r>
        <w:t>元素</w:t>
      </w:r>
      <w:r>
        <w:rPr>
          <w:rFonts w:hint="eastAsia"/>
        </w:rPr>
        <w:t>都</w:t>
      </w:r>
      <w:r>
        <w:t>包含一系列属性</w:t>
      </w:r>
      <w:r>
        <w:rPr>
          <w:rFonts w:hint="eastAsia"/>
        </w:rPr>
        <w:t>。图</w:t>
      </w:r>
      <w:r>
        <w:t>1</w:t>
      </w:r>
      <w:r>
        <w:rPr>
          <w:rFonts w:hint="eastAsia"/>
        </w:rPr>
        <w:t>以“账户名称”为例列举了部分元素属性：</w:t>
      </w:r>
    </w:p>
    <w:p>
      <w:pPr>
        <w:keepNext/>
        <w:spacing w:after="0" w:line="240" w:lineRule="auto"/>
        <w:jc w:val="center"/>
        <w:rPr>
          <w:rFonts w:ascii="Times New Roman" w:hAnsi="Times New Roman"/>
        </w:rPr>
      </w:pPr>
    </w:p>
    <w:tbl>
      <w:tblPr>
        <w:tblStyle w:val="15"/>
        <w:tblW w:w="9963" w:type="dxa"/>
        <w:tblInd w:w="0" w:type="dxa"/>
        <w:shd w:val="clear" w:color="auto" w:fill="F1F1F1" w:themeFill="background1" w:themeFillShade="F2"/>
        <w:tblLayout w:type="fixed"/>
        <w:tblCellMar>
          <w:top w:w="0" w:type="dxa"/>
          <w:left w:w="108" w:type="dxa"/>
          <w:bottom w:w="0" w:type="dxa"/>
          <w:right w:w="108" w:type="dxa"/>
        </w:tblCellMar>
      </w:tblPr>
      <w:tblGrid>
        <w:gridCol w:w="9963"/>
      </w:tblGrid>
      <w:tr>
        <w:tblPrEx>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pStyle w:val="40"/>
              <w:spacing w:after="240" w:afterLines="100" w:line="560" w:lineRule="exact"/>
              <w:ind w:firstLine="0" w:firstLineChars="0"/>
              <w:rPr>
                <w:sz w:val="24"/>
                <w:szCs w:val="24"/>
              </w:rPr>
            </w:pPr>
            <w:r>
              <w:rPr>
                <w:sz w:val="24"/>
                <w:szCs w:val="24"/>
              </w:rPr>
              <w:t>&lt;xsd:element name="</w:t>
            </w:r>
            <w:r>
              <w:t xml:space="preserve"> </w:t>
            </w:r>
            <w:r>
              <w:rPr>
                <w:sz w:val="24"/>
                <w:szCs w:val="24"/>
              </w:rPr>
              <w:t>NameOfBankAccount " id="con_</w:t>
            </w:r>
            <w:r>
              <w:t xml:space="preserve"> </w:t>
            </w:r>
            <w:r>
              <w:rPr>
                <w:sz w:val="24"/>
                <w:szCs w:val="24"/>
              </w:rPr>
              <w:t>NameOfBankAccount " type="xbrli:stringItemType" substitutionGroup="xbrli:item" nillable="true" xbrli:periodType="instant"/&gt;</w:t>
            </w:r>
          </w:p>
        </w:tc>
      </w:tr>
    </w:tbl>
    <w:p>
      <w:pPr>
        <w:pStyle w:val="31"/>
        <w:spacing w:afterLines="0" w:line="560" w:lineRule="exact"/>
        <w:ind w:firstLine="0" w:firstLineChars="0"/>
        <w:jc w:val="center"/>
        <w:rPr>
          <w:b/>
          <w:sz w:val="24"/>
          <w:szCs w:val="24"/>
        </w:rPr>
      </w:pPr>
      <w:r>
        <w:rPr>
          <w:rFonts w:hint="eastAsia"/>
          <w:b/>
          <w:sz w:val="24"/>
          <w:szCs w:val="24"/>
        </w:rPr>
        <w:t xml:space="preserve">图 </w:t>
      </w:r>
      <w:r>
        <w:rPr>
          <w:b/>
          <w:sz w:val="24"/>
          <w:szCs w:val="24"/>
        </w:rPr>
        <w:t>1</w:t>
      </w:r>
      <w:r>
        <w:rPr>
          <w:rFonts w:hint="eastAsia"/>
          <w:b/>
          <w:sz w:val="24"/>
          <w:szCs w:val="24"/>
        </w:rPr>
        <w:t>：函证数据标准中元素“账户名称”及其属性</w:t>
      </w:r>
    </w:p>
    <w:p>
      <w:pPr>
        <w:pStyle w:val="40"/>
        <w:wordWrap/>
        <w:spacing w:after="0" w:line="560" w:lineRule="exact"/>
      </w:pPr>
      <w:r>
        <w:rPr>
          <w:rFonts w:hint="eastAsia"/>
        </w:rPr>
        <w:t>函证数据标准元素的部分重要属性如下：</w:t>
      </w:r>
    </w:p>
    <w:p>
      <w:pPr>
        <w:pStyle w:val="42"/>
        <w:wordWrap/>
        <w:spacing w:after="0" w:line="560" w:lineRule="exact"/>
        <w:rPr>
          <w:rFonts w:cs="Times New Roman"/>
        </w:rPr>
      </w:pPr>
      <w:r>
        <w:rPr>
          <w:rFonts w:cs="Times New Roman"/>
        </w:rPr>
        <w:fldChar w:fldCharType="begin"/>
      </w:r>
      <w:r>
        <w:rPr>
          <w:rFonts w:cs="Times New Roman"/>
        </w:rPr>
        <w:instrText xml:space="preserve"> = 1 \* GB3 </w:instrText>
      </w:r>
      <w:r>
        <w:rPr>
          <w:rFonts w:cs="Times New Roman"/>
        </w:rPr>
        <w:fldChar w:fldCharType="separate"/>
      </w:r>
      <w:r>
        <w:rPr>
          <w:rFonts w:hint="eastAsia" w:eastAsia="宋体" w:cs="宋体"/>
        </w:rPr>
        <w:t>①</w:t>
      </w:r>
      <w:r>
        <w:rPr>
          <w:rFonts w:cs="Times New Roman"/>
        </w:rPr>
        <w:fldChar w:fldCharType="end"/>
      </w:r>
      <w:r>
        <w:rPr>
          <w:rFonts w:cs="Times New Roman"/>
        </w:rPr>
        <w:t xml:space="preserve"> 元素名称（element name）</w:t>
      </w:r>
    </w:p>
    <w:p>
      <w:pPr>
        <w:pStyle w:val="40"/>
        <w:wordWrap/>
        <w:spacing w:after="0" w:line="560" w:lineRule="exact"/>
        <w:rPr>
          <w:rFonts w:cs="Times New Roman"/>
        </w:rPr>
      </w:pPr>
      <w:r>
        <w:rPr>
          <w:rFonts w:cs="Times New Roman"/>
        </w:rPr>
        <w:t>元素名称以元素的英文标准标签为基础确定，遵循“驼峰规则”（Camel Case），以便计算机识别。例如，“</w:t>
      </w:r>
      <w:r>
        <w:rPr>
          <w:rFonts w:hint="eastAsia" w:cs="宋体"/>
          <w:szCs w:val="21"/>
        </w:rPr>
        <w:t>账户名称</w:t>
      </w:r>
      <w:r>
        <w:rPr>
          <w:rFonts w:cs="Times New Roman"/>
        </w:rPr>
        <w:t>”的英文标准标签是“Name of bank account”，元素名称应该是“NameOfBankAccount”。</w:t>
      </w:r>
    </w:p>
    <w:p>
      <w:pPr>
        <w:pStyle w:val="42"/>
        <w:wordWrap/>
        <w:spacing w:after="0" w:line="560" w:lineRule="exact"/>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 xml:space="preserve"> 元素ID （element ID）</w:t>
      </w:r>
    </w:p>
    <w:p>
      <w:pPr>
        <w:pStyle w:val="40"/>
        <w:wordWrap/>
        <w:spacing w:after="0" w:line="560" w:lineRule="exact"/>
      </w:pPr>
      <w:r>
        <w:rPr>
          <w:rFonts w:hint="eastAsia"/>
        </w:rPr>
        <w:t>元素ID是函证数据标准中所使用的每一个元素的唯一编号。元素ID的结构是：{函证数据标准的命名空间前缀_元素名称}。</w:t>
      </w:r>
    </w:p>
    <w:p>
      <w:pPr>
        <w:pStyle w:val="42"/>
        <w:wordWrap/>
        <w:spacing w:after="0" w:line="560" w:lineRule="exact"/>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 xml:space="preserve"> 时期类型（period type）</w:t>
      </w:r>
    </w:p>
    <w:p>
      <w:pPr>
        <w:pStyle w:val="40"/>
        <w:wordWrap/>
        <w:spacing w:after="0" w:line="560" w:lineRule="exact"/>
      </w:pPr>
      <w:r>
        <w:rPr>
          <w:rFonts w:hint="eastAsia"/>
        </w:rPr>
        <w:t>如果元素用于表达存量概念，时期类型应设为“instant”（时点）；如用于表达流量概念，时期类型应设为“duration”（期间）。所有抽象（abstract）元素、表（table）元素、轴（axis）元素的时期类型都是“duration”，其他元素的时期类型为“instant”，以便于对实例数据的标记。</w:t>
      </w:r>
    </w:p>
    <w:p>
      <w:pPr>
        <w:pStyle w:val="42"/>
        <w:wordWrap/>
        <w:spacing w:after="0" w:line="560" w:lineRule="exact"/>
      </w:pP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rPr>
          <w:rFonts w:hint="eastAsia"/>
        </w:rPr>
        <w:t xml:space="preserve"> 数据类型（type）</w:t>
      </w:r>
    </w:p>
    <w:p>
      <w:pPr>
        <w:pStyle w:val="40"/>
        <w:wordWrap/>
        <w:spacing w:after="0" w:line="560" w:lineRule="exact"/>
      </w:pPr>
      <w:r>
        <w:rPr>
          <w:rFonts w:hint="eastAsia"/>
        </w:rPr>
        <w:t>函证数据标准</w:t>
      </w:r>
      <w:r>
        <w:t>的</w:t>
      </w:r>
      <w:r>
        <w:rPr>
          <w:rFonts w:hint="eastAsia"/>
        </w:rPr>
        <w:t>数据</w:t>
      </w:r>
      <w:r>
        <w:t>类型</w:t>
      </w:r>
      <w:r>
        <w:rPr>
          <w:rFonts w:hint="eastAsia"/>
        </w:rPr>
        <w:t>属于</w:t>
      </w:r>
      <w:r>
        <w:t>标准数据类型</w:t>
      </w:r>
      <w:r>
        <w:rPr>
          <w:rFonts w:hint="eastAsia"/>
        </w:rPr>
        <w:t>，即XBRL国际</w:t>
      </w:r>
      <w:r>
        <w:t>组织发布的、国际通用的</w:t>
      </w:r>
      <w:r>
        <w:rPr>
          <w:rFonts w:hint="eastAsia"/>
        </w:rPr>
        <w:t>数据</w:t>
      </w:r>
      <w:r>
        <w:t>类型</w:t>
      </w:r>
      <w:r>
        <w:rPr>
          <w:rFonts w:hint="eastAsia"/>
        </w:rPr>
        <w:t>。函证数据标准共</w:t>
      </w:r>
      <w:r>
        <w:t>使用了</w:t>
      </w:r>
      <w:r>
        <w:rPr>
          <w:rFonts w:hint="eastAsia"/>
        </w:rPr>
        <w:t>8种</w:t>
      </w:r>
      <w:r>
        <w:t>标准数据类型</w:t>
      </w:r>
      <w:r>
        <w:rPr>
          <w:rFonts w:hint="eastAsia"/>
        </w:rPr>
        <w:t>，具体如表3所示。</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3</w:t>
      </w:r>
      <w:r>
        <w:rPr>
          <w:b/>
          <w:sz w:val="24"/>
          <w:szCs w:val="24"/>
        </w:rPr>
        <w:fldChar w:fldCharType="end"/>
      </w:r>
      <w:r>
        <w:rPr>
          <w:rFonts w:hint="eastAsia"/>
          <w:b/>
          <w:sz w:val="24"/>
          <w:szCs w:val="24"/>
        </w:rPr>
        <w:t>：函证数据标准使用的标准数据类型统计及举例</w:t>
      </w:r>
    </w:p>
    <w:tbl>
      <w:tblPr>
        <w:tblStyle w:val="15"/>
        <w:tblW w:w="789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2723"/>
        <w:gridCol w:w="1417"/>
        <w:gridCol w:w="18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blHeader/>
          <w:jc w:val="center"/>
        </w:trPr>
        <w:tc>
          <w:tcPr>
            <w:tcW w:w="1894"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数据</w:t>
            </w:r>
            <w:r>
              <w:rPr>
                <w:rFonts w:ascii="Times New Roman" w:hAnsi="Times New Roman" w:eastAsia="仿宋_GB2312"/>
                <w:b/>
                <w:sz w:val="24"/>
                <w:szCs w:val="24"/>
              </w:rPr>
              <w:t>类型</w:t>
            </w:r>
          </w:p>
        </w:tc>
        <w:tc>
          <w:tcPr>
            <w:tcW w:w="2723"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英文名称</w:t>
            </w:r>
          </w:p>
        </w:tc>
        <w:tc>
          <w:tcPr>
            <w:tcW w:w="1417"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元素数量</w:t>
            </w:r>
          </w:p>
        </w:tc>
        <w:tc>
          <w:tcPr>
            <w:tcW w:w="1859" w:type="dxa"/>
            <w:shd w:val="clear" w:color="auto" w:fill="auto"/>
            <w:vAlign w:val="center"/>
          </w:tcPr>
          <w:p>
            <w:pPr>
              <w:spacing w:after="0" w:line="240" w:lineRule="auto"/>
              <w:jc w:val="center"/>
              <w:rPr>
                <w:rFonts w:ascii="Times New Roman" w:hAnsi="Times New Roman" w:eastAsia="仿宋_GB2312"/>
                <w:b/>
                <w:sz w:val="24"/>
                <w:szCs w:val="24"/>
              </w:rPr>
            </w:pPr>
            <w:r>
              <w:rPr>
                <w:rFonts w:hint="eastAsia" w:ascii="Times New Roman" w:hAnsi="Times New Roman" w:eastAsia="仿宋_GB2312"/>
                <w:b/>
                <w:sz w:val="24"/>
                <w:szCs w:val="24"/>
              </w:rPr>
              <w:t>数据</w:t>
            </w:r>
            <w:r>
              <w:rPr>
                <w:rFonts w:ascii="Times New Roman" w:hAnsi="Times New Roman" w:eastAsia="仿宋_GB2312"/>
                <w:b/>
                <w:sz w:val="24"/>
                <w:szCs w:val="24"/>
              </w:rPr>
              <w:t>类型</w:t>
            </w:r>
            <w:r>
              <w:rPr>
                <w:rFonts w:hint="eastAsia" w:ascii="Times New Roman" w:hAnsi="Times New Roman" w:eastAsia="仿宋_GB2312"/>
                <w:b/>
                <w:sz w:val="24"/>
                <w:szCs w:val="24"/>
              </w:rPr>
              <w:t>举例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字符串类型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xbrli:stringItemType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116</w:t>
            </w:r>
          </w:p>
        </w:tc>
        <w:tc>
          <w:tcPr>
            <w:tcW w:w="1859" w:type="dxa"/>
            <w:vAlign w:val="center"/>
          </w:tcPr>
          <w:p>
            <w:pPr>
              <w:spacing w:after="0" w:line="240" w:lineRule="auto"/>
              <w:jc w:val="both"/>
              <w:rPr>
                <w:rFonts w:ascii="Times New Roman" w:hAnsi="Times New Roman" w:eastAsia="仿宋_GB2312"/>
                <w:sz w:val="24"/>
                <w:szCs w:val="24"/>
              </w:rPr>
            </w:pPr>
            <w:r>
              <w:rPr>
                <w:rFonts w:hint="eastAsia" w:eastAsia="仿宋_GB2312" w:cs="宋体"/>
                <w:szCs w:val="21"/>
              </w:rPr>
              <w:t>账户名称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货币类型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xbrli:monetaryItemType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15</w:t>
            </w:r>
          </w:p>
        </w:tc>
        <w:tc>
          <w:tcPr>
            <w:tcW w:w="1859" w:type="dxa"/>
            <w:vAlign w:val="center"/>
          </w:tcPr>
          <w:p>
            <w:pPr>
              <w:spacing w:after="0" w:line="240" w:lineRule="auto"/>
              <w:jc w:val="both"/>
              <w:rPr>
                <w:rFonts w:ascii="Times New Roman" w:hAnsi="Times New Roman" w:eastAsia="仿宋_GB2312"/>
                <w:sz w:val="24"/>
                <w:szCs w:val="24"/>
              </w:rPr>
            </w:pPr>
            <w:r>
              <w:rPr>
                <w:rFonts w:hint="eastAsia" w:eastAsia="仿宋_GB2312" w:cs="宋体"/>
                <w:szCs w:val="21"/>
              </w:rPr>
              <w:t>银行账户余额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日期类型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xbrli:dateItemType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19</w:t>
            </w:r>
          </w:p>
        </w:tc>
        <w:tc>
          <w:tcPr>
            <w:tcW w:w="1859"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借款日期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年度类型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xbrli:gYearItemType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859"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财务报表年份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精确数值类型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xbrli:decimalItemType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859"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汇率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份额类型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xbrli:sharesItemType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859"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持有份额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百分比类型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num:percentItemType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859"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贴现率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域成员类型</w:t>
            </w:r>
          </w:p>
        </w:tc>
        <w:tc>
          <w:tcPr>
            <w:tcW w:w="2723" w:type="dxa"/>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nonnum:domainItemType</w:t>
            </w:r>
          </w:p>
        </w:tc>
        <w:tc>
          <w:tcPr>
            <w:tcW w:w="1417" w:type="dxa"/>
            <w:vAlign w:val="center"/>
          </w:tcPr>
          <w:p>
            <w:pPr>
              <w:spacing w:after="0" w:line="240" w:lineRule="auto"/>
              <w:jc w:val="center"/>
              <w:rPr>
                <w:rFonts w:ascii="Times New Roman" w:hAnsi="Times New Roman" w:eastAsia="仿宋_GB2312"/>
                <w:sz w:val="24"/>
                <w:szCs w:val="24"/>
              </w:rPr>
            </w:pPr>
            <w:r>
              <w:rPr>
                <w:rFonts w:hint="eastAsia" w:ascii="Times New Roman" w:hAnsi="Times New Roman" w:eastAsia="仿宋_GB2312"/>
                <w:sz w:val="24"/>
                <w:szCs w:val="24"/>
              </w:rPr>
              <w:t>22</w:t>
            </w:r>
          </w:p>
        </w:tc>
        <w:tc>
          <w:tcPr>
            <w:tcW w:w="1859" w:type="dxa"/>
            <w:vAlign w:val="center"/>
          </w:tcPr>
          <w:p>
            <w:pPr>
              <w:spacing w:after="0" w:line="240" w:lineRule="auto"/>
              <w:jc w:val="both"/>
              <w:rPr>
                <w:rFonts w:ascii="Times New Roman" w:hAnsi="Times New Roman" w:eastAsia="仿宋_GB2312"/>
                <w:sz w:val="24"/>
                <w:szCs w:val="24"/>
                <w:highlight w:val="yellow"/>
                <w:lang w:val="en-GB"/>
              </w:rPr>
            </w:pPr>
            <w:r>
              <w:rPr>
                <w:rFonts w:hint="eastAsia" w:ascii="Times New Roman" w:hAnsi="Times New Roman" w:eastAsia="仿宋_GB2312"/>
                <w:sz w:val="24"/>
                <w:szCs w:val="24"/>
                <w:lang w:val="en-GB"/>
              </w:rPr>
              <w:t>不适用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4" w:type="dxa"/>
            <w:vAlign w:val="center"/>
          </w:tcPr>
          <w:p>
            <w:pPr>
              <w:spacing w:after="0" w:line="240" w:lineRule="auto"/>
              <w:jc w:val="both"/>
              <w:rPr>
                <w:rFonts w:ascii="Times New Roman" w:hAnsi="Times New Roman" w:eastAsia="仿宋_GB2312"/>
                <w:sz w:val="24"/>
                <w:szCs w:val="24"/>
              </w:rPr>
            </w:pPr>
            <w:bookmarkStart w:id="0" w:name="_Hlk414025444"/>
            <w:r>
              <w:rPr>
                <w:rFonts w:hint="eastAsia" w:ascii="Times New Roman" w:hAnsi="Times New Roman" w:eastAsia="仿宋_GB2312"/>
                <w:szCs w:val="24"/>
              </w:rPr>
              <w:t>合计</w:t>
            </w:r>
          </w:p>
        </w:tc>
        <w:tc>
          <w:tcPr>
            <w:tcW w:w="2723" w:type="dxa"/>
            <w:vAlign w:val="center"/>
          </w:tcPr>
          <w:p>
            <w:pPr>
              <w:spacing w:after="0" w:line="240" w:lineRule="auto"/>
              <w:jc w:val="both"/>
              <w:rPr>
                <w:rFonts w:ascii="Times New Roman" w:hAnsi="Times New Roman" w:eastAsia="仿宋_GB2312"/>
                <w:sz w:val="24"/>
                <w:szCs w:val="24"/>
              </w:rPr>
            </w:pPr>
          </w:p>
        </w:tc>
        <w:tc>
          <w:tcPr>
            <w:tcW w:w="1417" w:type="dxa"/>
            <w:vAlign w:val="center"/>
          </w:tcPr>
          <w:p>
            <w:pPr>
              <w:spacing w:after="0" w:line="240" w:lineRule="auto"/>
              <w:jc w:val="center"/>
              <w:rPr>
                <w:rFonts w:ascii="Times New Roman" w:hAnsi="Times New Roman" w:eastAsia="仿宋_GB2312"/>
                <w:sz w:val="24"/>
                <w:szCs w:val="24"/>
                <w:highlight w:val="yellow"/>
              </w:rPr>
            </w:pPr>
            <w:r>
              <w:rPr>
                <w:rFonts w:hint="eastAsia" w:ascii="Times New Roman" w:hAnsi="Times New Roman" w:eastAsia="仿宋_GB2312"/>
                <w:sz w:val="24"/>
                <w:szCs w:val="24"/>
              </w:rPr>
              <w:t>176</w:t>
            </w:r>
          </w:p>
        </w:tc>
        <w:tc>
          <w:tcPr>
            <w:tcW w:w="1859" w:type="dxa"/>
            <w:vAlign w:val="center"/>
          </w:tcPr>
          <w:p>
            <w:pPr>
              <w:spacing w:after="0" w:line="240" w:lineRule="auto"/>
              <w:jc w:val="both"/>
              <w:rPr>
                <w:rFonts w:ascii="Times New Roman" w:hAnsi="Times New Roman" w:eastAsia="仿宋_GB2312"/>
                <w:sz w:val="24"/>
                <w:szCs w:val="24"/>
              </w:rPr>
            </w:pPr>
          </w:p>
        </w:tc>
      </w:tr>
      <w:bookmarkEnd w:id="0"/>
    </w:tbl>
    <w:p>
      <w:pPr>
        <w:pStyle w:val="41"/>
        <w:wordWrap/>
        <w:spacing w:after="0" w:line="560" w:lineRule="exact"/>
      </w:pPr>
      <w:r>
        <w:rPr>
          <w:rFonts w:hint="eastAsia"/>
        </w:rPr>
        <w:t>（2）函证数据标准中使用的重要虚元素</w:t>
      </w:r>
    </w:p>
    <w:p>
      <w:pPr>
        <w:pStyle w:val="40"/>
        <w:wordWrap/>
        <w:spacing w:after="0" w:line="560" w:lineRule="exact"/>
      </w:pPr>
      <w:r>
        <w:rPr>
          <w:rFonts w:hint="eastAsia"/>
        </w:rPr>
        <w:t>在根据函证数据标准编制的实例文档中，大部分元素都可被赋予事实值，称之为“实元素”；另一部分元素没有事实值，其作用是用来组织实元素间的关系，称之为“虚元素”。下面列举了函证数据标准中部分重要虚元素的用法。</w:t>
      </w:r>
    </w:p>
    <w:p>
      <w:pPr>
        <w:pStyle w:val="42"/>
        <w:wordWrap/>
        <w:spacing w:after="0" w:line="560" w:lineRule="exact"/>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 xml:space="preserve"> 抽象（abstract）元素</w:t>
      </w:r>
    </w:p>
    <w:p>
      <w:pPr>
        <w:pStyle w:val="40"/>
        <w:wordWrap/>
        <w:spacing w:after="0" w:line="560" w:lineRule="exact"/>
      </w:pPr>
      <w:r>
        <w:rPr>
          <w:rFonts w:hint="eastAsia"/>
        </w:rPr>
        <w:t>抽象元素用于组织列报链接库中元素的展示层级。所有抽象元素的“abstract”属性都应设为“true”，时期类型为“duration”。</w:t>
      </w:r>
    </w:p>
    <w:p>
      <w:pPr>
        <w:pStyle w:val="42"/>
        <w:wordWrap/>
        <w:spacing w:after="0" w:line="560" w:lineRule="exact"/>
      </w:pPr>
      <w:r>
        <w:rPr>
          <w:rFonts w:hint="eastAsia"/>
        </w:rPr>
        <w:t>② 轴（axis）元素和表（table）元素</w:t>
      </w:r>
    </w:p>
    <w:p>
      <w:pPr>
        <w:pStyle w:val="40"/>
        <w:wordWrap/>
        <w:spacing w:after="0" w:line="560" w:lineRule="exact"/>
      </w:pPr>
      <w:r>
        <w:rPr>
          <w:rFonts w:hint="eastAsia"/>
        </w:rPr>
        <w:t>轴元素和表元素的“substitutionGroup”（替换组）属性与其他元素不同，分别是“dimensionItem”（维度项）和“hypercubeItem”（超立方体项）。它们的元素数据类型都是“stringItemType”（字符串型），时期类型都是“duration”（期间型）。为满足《银行询证函》的</w:t>
      </w:r>
      <w:r>
        <w:t>披露</w:t>
      </w:r>
      <w:r>
        <w:rPr>
          <w:rFonts w:hint="eastAsia"/>
        </w:rPr>
        <w:t>需求，函证数据标准定义了表元素，并在其下设置了与之相配的轴元素。</w:t>
      </w:r>
    </w:p>
    <w:p>
      <w:pPr>
        <w:pStyle w:val="41"/>
        <w:wordWrap/>
        <w:spacing w:after="0" w:line="560" w:lineRule="exact"/>
      </w:pPr>
      <w:r>
        <w:rPr>
          <w:rFonts w:hint="eastAsia"/>
        </w:rPr>
        <w:t>（3）元素标签及后缀</w:t>
      </w:r>
    </w:p>
    <w:p>
      <w:pPr>
        <w:pStyle w:val="40"/>
        <w:wordWrap/>
        <w:spacing w:after="0" w:line="560" w:lineRule="exact"/>
      </w:pPr>
      <w:r>
        <w:rPr>
          <w:rFonts w:hint="eastAsia"/>
        </w:rPr>
        <w:t>在函证数据标准中，同一个元素可有多个标签，其中至少有中英文标准标签各一个。英文标签只有第一个单词的首字母以及缩写词要求大写。一些特定元素的标准标签还必须增加标准后缀，具体如下：</w:t>
      </w:r>
    </w:p>
    <w:p>
      <w:pPr>
        <w:pStyle w:val="42"/>
        <w:wordWrap/>
        <w:spacing w:after="0" w:line="560" w:lineRule="exact"/>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 xml:space="preserve"> [abstract]：所有抽象（abstract）元素的标准标签后缀；</w:t>
      </w:r>
    </w:p>
    <w:p>
      <w:pPr>
        <w:pStyle w:val="42"/>
        <w:wordWrap/>
        <w:spacing w:after="0" w:line="560" w:lineRule="exact"/>
      </w:pPr>
      <w:r>
        <w:rPr>
          <w:rFonts w:hint="eastAsia"/>
        </w:rPr>
        <w:t>② [table]：所有替换组属性是超立方体项的表（table）元素的标准标签后缀；</w:t>
      </w:r>
    </w:p>
    <w:p>
      <w:pPr>
        <w:pStyle w:val="42"/>
        <w:wordWrap/>
        <w:spacing w:after="0" w:line="560" w:lineRule="exact"/>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 xml:space="preserve"> [axis]：所有替换组属性是维度项的轴（axis</w:t>
      </w:r>
      <w:r>
        <w:t>）</w:t>
      </w:r>
      <w:r>
        <w:rPr>
          <w:rFonts w:hint="eastAsia"/>
        </w:rPr>
        <w:t>元素的标准标签后缀。</w:t>
      </w:r>
    </w:p>
    <w:p>
      <w:pPr>
        <w:pStyle w:val="39"/>
        <w:wordWrap/>
        <w:spacing w:after="0" w:line="560" w:lineRule="exact"/>
      </w:pPr>
      <w:r>
        <w:rPr>
          <w:rFonts w:cs="Times New Roman"/>
        </w:rPr>
        <w:t>2</w:t>
      </w:r>
      <w:r>
        <w:rPr>
          <w:rFonts w:hint="eastAsia" w:cs="Times New Roman"/>
        </w:rPr>
        <w:t>．</w:t>
      </w:r>
      <w:r>
        <w:rPr>
          <w:rFonts w:hint="eastAsia"/>
        </w:rPr>
        <w:t>扩展链接角色（</w:t>
      </w:r>
      <w:r>
        <w:t>ELR</w:t>
      </w:r>
      <w:r>
        <w:rPr>
          <w:rFonts w:hint="eastAsia"/>
        </w:rPr>
        <w:t>）</w:t>
      </w:r>
    </w:p>
    <w:p>
      <w:pPr>
        <w:pStyle w:val="41"/>
        <w:wordWrap/>
        <w:spacing w:after="0" w:line="560" w:lineRule="exact"/>
      </w:pPr>
      <w:r>
        <w:rPr>
          <w:rFonts w:hint="eastAsia"/>
        </w:rPr>
        <w:t>（1）扩展链接角色的定义</w:t>
      </w:r>
    </w:p>
    <w:p>
      <w:pPr>
        <w:pStyle w:val="40"/>
        <w:wordWrap/>
        <w:spacing w:after="0" w:line="560" w:lineRule="exact"/>
      </w:pPr>
      <w:r>
        <w:rPr>
          <w:rFonts w:hint="eastAsia"/>
        </w:rPr>
        <w:t>扩展链接角色（ELR）是一组可被视为一个整体进行处理的银行询证函信息关系的标识符。</w:t>
      </w:r>
    </w:p>
    <w:p>
      <w:pPr>
        <w:pStyle w:val="41"/>
        <w:wordWrap/>
        <w:spacing w:after="0" w:line="560" w:lineRule="exact"/>
      </w:pPr>
      <w:r>
        <w:rPr>
          <w:rFonts w:hint="eastAsia"/>
        </w:rPr>
        <w:t>（2）扩展链接角色的统一资源标识符（URI）的定义</w:t>
      </w:r>
    </w:p>
    <w:p>
      <w:pPr>
        <w:pStyle w:val="40"/>
        <w:wordWrap/>
        <w:spacing w:after="0" w:line="560" w:lineRule="exact"/>
      </w:pPr>
      <w:r>
        <w:rPr>
          <w:rFonts w:hint="eastAsia"/>
        </w:rPr>
        <w:t>在设计扩展链接角色时，函证数据标准依据GB/T25500-2010《可扩展商业报告语言（XBRL）技术规范》系列国家标准的规定，为扩展链接角色定义了统一资源标识符，统一资源标识符的定义遵循以下模式：</w:t>
      </w:r>
      <w:r>
        <w:t>http://xbrl.mof.gov.cn/role</w:t>
      </w:r>
      <w:r>
        <w:rPr>
          <w:rFonts w:hint="eastAsia"/>
        </w:rPr>
        <w:t>/</w:t>
      </w:r>
      <w:r>
        <w:t>yyyy-mm-dd/</w:t>
      </w:r>
      <w:r>
        <w:rPr>
          <w:rFonts w:hint="eastAsia"/>
        </w:rPr>
        <w:t>{</w:t>
      </w:r>
      <w:r>
        <w:t>“</w:t>
      </w:r>
      <w:r>
        <w:rPr>
          <w:rFonts w:hint="eastAsia"/>
        </w:rPr>
        <w:t>编码</w:t>
      </w:r>
      <w:r>
        <w:t>”</w:t>
      </w:r>
      <w:r>
        <w:rPr>
          <w:rFonts w:hint="eastAsia"/>
        </w:rPr>
        <w:t>}。</w:t>
      </w:r>
    </w:p>
    <w:p>
      <w:pPr>
        <w:pStyle w:val="40"/>
        <w:wordWrap/>
        <w:spacing w:after="0" w:line="560" w:lineRule="exact"/>
      </w:pPr>
      <w:r>
        <w:rPr>
          <w:rFonts w:hint="eastAsia"/>
        </w:rPr>
        <w:t>其中，yyyy-mm-dd为函证数据标准的版本日期；“编码”表示扩展链接角色的6位编码，便于计算机识别及检索。</w:t>
      </w:r>
    </w:p>
    <w:p>
      <w:pPr>
        <w:pStyle w:val="40"/>
        <w:wordWrap/>
        <w:spacing w:after="0" w:line="560" w:lineRule="exact"/>
      </w:pPr>
      <w:r>
        <w:rPr>
          <w:rFonts w:hint="eastAsia"/>
        </w:rPr>
        <w:t>函证数据标准在定义扩展链接角色的</w:t>
      </w:r>
      <w:r>
        <w:t>6</w:t>
      </w:r>
      <w:r>
        <w:rPr>
          <w:rFonts w:hint="eastAsia"/>
        </w:rPr>
        <w:t xml:space="preserve">位编码时，遵守了财政部《企业会计准则通用分类标准指南》中的特定的编码规则，具体如表4所示： </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4</w:t>
      </w:r>
      <w:r>
        <w:rPr>
          <w:b/>
          <w:sz w:val="24"/>
          <w:szCs w:val="24"/>
        </w:rPr>
        <w:fldChar w:fldCharType="end"/>
      </w:r>
      <w:r>
        <w:rPr>
          <w:rFonts w:hint="eastAsia"/>
          <w:b/>
          <w:sz w:val="24"/>
          <w:szCs w:val="24"/>
        </w:rPr>
        <w:t>：扩展</w:t>
      </w:r>
      <w:r>
        <w:rPr>
          <w:b/>
          <w:sz w:val="24"/>
          <w:szCs w:val="24"/>
        </w:rPr>
        <w:t>链接角色</w:t>
      </w:r>
      <w:r>
        <w:rPr>
          <w:rFonts w:hint="eastAsia"/>
          <w:b/>
          <w:sz w:val="24"/>
          <w:szCs w:val="24"/>
        </w:rPr>
        <w:t>编码及其</w:t>
      </w:r>
      <w:r>
        <w:rPr>
          <w:b/>
          <w:sz w:val="24"/>
          <w:szCs w:val="24"/>
        </w:rPr>
        <w:t>对应的数字或字母</w:t>
      </w:r>
      <w:r>
        <w:rPr>
          <w:rFonts w:hint="eastAsia"/>
          <w:b/>
          <w:sz w:val="24"/>
          <w:szCs w:val="24"/>
        </w:rPr>
        <w:t>含义</w:t>
      </w:r>
    </w:p>
    <w:tbl>
      <w:tblPr>
        <w:tblStyle w:val="15"/>
        <w:tblW w:w="996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275"/>
        <w:gridCol w:w="47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trPr>
        <w:tc>
          <w:tcPr>
            <w:tcW w:w="1951" w:type="dxa"/>
            <w:vAlign w:val="center"/>
          </w:tcPr>
          <w:p>
            <w:pPr>
              <w:pStyle w:val="40"/>
              <w:wordWrap/>
              <w:spacing w:line="240" w:lineRule="auto"/>
              <w:ind w:firstLine="0" w:firstLineChars="0"/>
              <w:jc w:val="center"/>
              <w:rPr>
                <w:b/>
                <w:sz w:val="24"/>
              </w:rPr>
            </w:pPr>
            <w:r>
              <w:rPr>
                <w:rFonts w:hint="eastAsia"/>
                <w:b/>
                <w:sz w:val="24"/>
              </w:rPr>
              <w:t>编码位数</w:t>
            </w:r>
          </w:p>
        </w:tc>
        <w:tc>
          <w:tcPr>
            <w:tcW w:w="1985" w:type="dxa"/>
            <w:vAlign w:val="center"/>
          </w:tcPr>
          <w:p>
            <w:pPr>
              <w:pStyle w:val="40"/>
              <w:wordWrap/>
              <w:spacing w:line="240" w:lineRule="auto"/>
              <w:ind w:firstLine="0" w:firstLineChars="0"/>
              <w:jc w:val="center"/>
              <w:rPr>
                <w:b/>
                <w:sz w:val="24"/>
              </w:rPr>
            </w:pPr>
            <w:r>
              <w:rPr>
                <w:rFonts w:hint="eastAsia"/>
                <w:b/>
                <w:sz w:val="24"/>
              </w:rPr>
              <w:t>编码</w:t>
            </w:r>
            <w:r>
              <w:rPr>
                <w:b/>
                <w:sz w:val="24"/>
              </w:rPr>
              <w:t>含义</w:t>
            </w:r>
          </w:p>
        </w:tc>
        <w:tc>
          <w:tcPr>
            <w:tcW w:w="1275" w:type="dxa"/>
            <w:vAlign w:val="center"/>
          </w:tcPr>
          <w:p>
            <w:pPr>
              <w:pStyle w:val="40"/>
              <w:wordWrap/>
              <w:spacing w:line="240" w:lineRule="auto"/>
              <w:ind w:firstLine="0" w:firstLineChars="0"/>
              <w:jc w:val="center"/>
              <w:rPr>
                <w:b/>
                <w:sz w:val="24"/>
              </w:rPr>
            </w:pPr>
            <w:r>
              <w:rPr>
                <w:rFonts w:hint="eastAsia"/>
                <w:b/>
                <w:sz w:val="24"/>
              </w:rPr>
              <w:t>是否必须</w:t>
            </w:r>
          </w:p>
        </w:tc>
        <w:tc>
          <w:tcPr>
            <w:tcW w:w="4752" w:type="dxa"/>
            <w:vAlign w:val="center"/>
          </w:tcPr>
          <w:p>
            <w:pPr>
              <w:pStyle w:val="40"/>
              <w:wordWrap/>
              <w:spacing w:line="240" w:lineRule="auto"/>
              <w:ind w:firstLine="0" w:firstLineChars="0"/>
              <w:jc w:val="center"/>
              <w:rPr>
                <w:b/>
                <w:sz w:val="24"/>
              </w:rPr>
            </w:pPr>
            <w:r>
              <w:rPr>
                <w:rFonts w:hint="eastAsia"/>
                <w:b/>
                <w:sz w:val="24"/>
              </w:rPr>
              <w:t>对应的</w:t>
            </w:r>
            <w:r>
              <w:rPr>
                <w:b/>
                <w:sz w:val="24"/>
              </w:rPr>
              <w:t>数字或字母含义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951" w:type="dxa"/>
            <w:vAlign w:val="center"/>
          </w:tcPr>
          <w:p>
            <w:pPr>
              <w:pStyle w:val="40"/>
              <w:wordWrap/>
              <w:spacing w:line="240" w:lineRule="auto"/>
              <w:ind w:left="220" w:leftChars="100" w:firstLine="0" w:firstLineChars="0"/>
              <w:jc w:val="center"/>
              <w:rPr>
                <w:sz w:val="24"/>
              </w:rPr>
            </w:pPr>
            <w:r>
              <w:rPr>
                <w:rFonts w:hint="eastAsia"/>
                <w:sz w:val="24"/>
              </w:rPr>
              <w:t>第一位</w:t>
            </w:r>
            <w:r>
              <w:rPr>
                <w:sz w:val="24"/>
              </w:rPr>
              <w:t>编码</w:t>
            </w:r>
          </w:p>
        </w:tc>
        <w:tc>
          <w:tcPr>
            <w:tcW w:w="1985" w:type="dxa"/>
            <w:vAlign w:val="center"/>
          </w:tcPr>
          <w:p>
            <w:pPr>
              <w:pStyle w:val="40"/>
              <w:wordWrap/>
              <w:spacing w:line="240" w:lineRule="auto"/>
              <w:ind w:firstLine="0" w:firstLineChars="0"/>
              <w:jc w:val="center"/>
              <w:rPr>
                <w:sz w:val="24"/>
              </w:rPr>
            </w:pPr>
            <w:r>
              <w:rPr>
                <w:rFonts w:hint="eastAsia"/>
                <w:sz w:val="24"/>
              </w:rPr>
              <w:t>监管机构</w:t>
            </w:r>
            <w:r>
              <w:rPr>
                <w:sz w:val="24"/>
              </w:rPr>
              <w:t>代码</w:t>
            </w:r>
          </w:p>
        </w:tc>
        <w:tc>
          <w:tcPr>
            <w:tcW w:w="1275" w:type="dxa"/>
            <w:vAlign w:val="center"/>
          </w:tcPr>
          <w:p>
            <w:pPr>
              <w:pStyle w:val="40"/>
              <w:wordWrap/>
              <w:spacing w:line="320" w:lineRule="exact"/>
              <w:ind w:firstLine="0" w:firstLineChars="0"/>
              <w:jc w:val="center"/>
              <w:rPr>
                <w:sz w:val="24"/>
              </w:rPr>
            </w:pPr>
            <w:r>
              <w:rPr>
                <w:rFonts w:hint="eastAsia"/>
                <w:sz w:val="24"/>
              </w:rPr>
              <w:t>必选</w:t>
            </w:r>
          </w:p>
        </w:tc>
        <w:tc>
          <w:tcPr>
            <w:tcW w:w="4752" w:type="dxa"/>
            <w:vAlign w:val="center"/>
          </w:tcPr>
          <w:p>
            <w:pPr>
              <w:pStyle w:val="40"/>
              <w:wordWrap/>
              <w:spacing w:line="320" w:lineRule="exact"/>
              <w:ind w:left="220" w:leftChars="100" w:firstLine="0" w:firstLineChars="0"/>
              <w:jc w:val="both"/>
              <w:rPr>
                <w:sz w:val="24"/>
              </w:rPr>
            </w:pPr>
            <w:r>
              <w:rPr>
                <w:sz w:val="24"/>
              </w:rPr>
              <w:t>1</w:t>
            </w:r>
            <w:r>
              <w:rPr>
                <w:rFonts w:hint="eastAsia"/>
                <w:sz w:val="24"/>
              </w:rPr>
              <w:t>表示财政部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951" w:type="dxa"/>
            <w:vAlign w:val="center"/>
          </w:tcPr>
          <w:p>
            <w:pPr>
              <w:pStyle w:val="40"/>
              <w:wordWrap/>
              <w:spacing w:line="240" w:lineRule="auto"/>
              <w:ind w:left="220" w:leftChars="100" w:firstLine="0" w:firstLineChars="0"/>
              <w:jc w:val="center"/>
              <w:rPr>
                <w:sz w:val="24"/>
              </w:rPr>
            </w:pPr>
            <w:r>
              <w:rPr>
                <w:rFonts w:hint="eastAsia"/>
                <w:sz w:val="24"/>
              </w:rPr>
              <w:t>第二位</w:t>
            </w:r>
            <w:r>
              <w:rPr>
                <w:sz w:val="24"/>
              </w:rPr>
              <w:t>编码</w:t>
            </w:r>
          </w:p>
        </w:tc>
        <w:tc>
          <w:tcPr>
            <w:tcW w:w="1985" w:type="dxa"/>
            <w:vAlign w:val="center"/>
          </w:tcPr>
          <w:p>
            <w:pPr>
              <w:pStyle w:val="40"/>
              <w:wordWrap/>
              <w:spacing w:line="240" w:lineRule="auto"/>
              <w:ind w:firstLine="0" w:firstLineChars="0"/>
              <w:jc w:val="center"/>
              <w:rPr>
                <w:sz w:val="24"/>
              </w:rPr>
            </w:pPr>
            <w:r>
              <w:rPr>
                <w:rFonts w:hint="eastAsia"/>
                <w:sz w:val="24"/>
              </w:rPr>
              <w:t>业务</w:t>
            </w:r>
            <w:r>
              <w:rPr>
                <w:sz w:val="24"/>
              </w:rPr>
              <w:t>类型</w:t>
            </w:r>
          </w:p>
        </w:tc>
        <w:tc>
          <w:tcPr>
            <w:tcW w:w="1275" w:type="dxa"/>
            <w:vAlign w:val="center"/>
          </w:tcPr>
          <w:p>
            <w:pPr>
              <w:pStyle w:val="40"/>
              <w:wordWrap/>
              <w:spacing w:line="320" w:lineRule="exact"/>
              <w:ind w:firstLine="0" w:firstLineChars="0"/>
              <w:jc w:val="center"/>
              <w:rPr>
                <w:sz w:val="24"/>
              </w:rPr>
            </w:pPr>
            <w:r>
              <w:rPr>
                <w:rFonts w:hint="eastAsia"/>
                <w:sz w:val="24"/>
              </w:rPr>
              <w:t>必选</w:t>
            </w:r>
          </w:p>
        </w:tc>
        <w:tc>
          <w:tcPr>
            <w:tcW w:w="4752" w:type="dxa"/>
            <w:vAlign w:val="center"/>
          </w:tcPr>
          <w:p>
            <w:pPr>
              <w:pStyle w:val="40"/>
              <w:wordWrap/>
              <w:spacing w:line="320" w:lineRule="exact"/>
              <w:ind w:left="220" w:leftChars="100" w:firstLine="0" w:firstLineChars="0"/>
              <w:jc w:val="both"/>
              <w:rPr>
                <w:sz w:val="24"/>
              </w:rPr>
            </w:pPr>
            <w:r>
              <w:rPr>
                <w:sz w:val="24"/>
              </w:rPr>
              <w:t>0</w:t>
            </w:r>
            <w:r>
              <w:rPr>
                <w:rFonts w:hint="eastAsia"/>
                <w:sz w:val="24"/>
              </w:rPr>
              <w:t>表示电子会计凭证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1951" w:type="dxa"/>
            <w:vAlign w:val="center"/>
          </w:tcPr>
          <w:p>
            <w:pPr>
              <w:pStyle w:val="40"/>
              <w:wordWrap/>
              <w:spacing w:line="240" w:lineRule="auto"/>
              <w:ind w:left="220" w:leftChars="100" w:firstLine="0" w:firstLineChars="0"/>
              <w:jc w:val="center"/>
              <w:rPr>
                <w:sz w:val="24"/>
              </w:rPr>
            </w:pPr>
            <w:r>
              <w:rPr>
                <w:rFonts w:hint="eastAsia"/>
                <w:sz w:val="24"/>
              </w:rPr>
              <w:t>第三/四</w:t>
            </w:r>
            <w:r>
              <w:rPr>
                <w:sz w:val="24"/>
              </w:rPr>
              <w:t>位编码</w:t>
            </w:r>
          </w:p>
        </w:tc>
        <w:tc>
          <w:tcPr>
            <w:tcW w:w="1985" w:type="dxa"/>
            <w:vAlign w:val="center"/>
          </w:tcPr>
          <w:p>
            <w:pPr>
              <w:pStyle w:val="40"/>
              <w:wordWrap/>
              <w:spacing w:line="240" w:lineRule="auto"/>
              <w:ind w:firstLine="0" w:firstLineChars="0"/>
              <w:jc w:val="center"/>
              <w:rPr>
                <w:sz w:val="24"/>
              </w:rPr>
            </w:pPr>
            <w:r>
              <w:rPr>
                <w:rFonts w:hint="eastAsia"/>
                <w:sz w:val="24"/>
              </w:rPr>
              <w:t>单据类型</w:t>
            </w:r>
          </w:p>
        </w:tc>
        <w:tc>
          <w:tcPr>
            <w:tcW w:w="1275" w:type="dxa"/>
            <w:vAlign w:val="center"/>
          </w:tcPr>
          <w:p>
            <w:pPr>
              <w:pStyle w:val="40"/>
              <w:wordWrap/>
              <w:spacing w:line="320" w:lineRule="exact"/>
              <w:ind w:firstLine="0" w:firstLineChars="0"/>
              <w:jc w:val="center"/>
              <w:rPr>
                <w:sz w:val="24"/>
              </w:rPr>
            </w:pPr>
            <w:r>
              <w:rPr>
                <w:rFonts w:hint="eastAsia"/>
                <w:sz w:val="24"/>
              </w:rPr>
              <w:t>必选</w:t>
            </w:r>
          </w:p>
        </w:tc>
        <w:tc>
          <w:tcPr>
            <w:tcW w:w="4752" w:type="dxa"/>
            <w:vAlign w:val="center"/>
          </w:tcPr>
          <w:p>
            <w:pPr>
              <w:pStyle w:val="40"/>
              <w:wordWrap/>
              <w:spacing w:line="320" w:lineRule="exact"/>
              <w:ind w:left="220" w:leftChars="100" w:firstLine="0" w:firstLineChars="0"/>
              <w:jc w:val="both"/>
              <w:rPr>
                <w:sz w:val="24"/>
              </w:rPr>
            </w:pPr>
            <w:r>
              <w:rPr>
                <w:sz w:val="24"/>
              </w:rPr>
              <w:t>0</w:t>
            </w:r>
            <w:r>
              <w:rPr>
                <w:rFonts w:hint="eastAsia"/>
                <w:sz w:val="24"/>
              </w:rPr>
              <w:t>2表示银行询证函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951" w:type="dxa"/>
            <w:vAlign w:val="center"/>
          </w:tcPr>
          <w:p>
            <w:pPr>
              <w:pStyle w:val="40"/>
              <w:wordWrap/>
              <w:spacing w:line="240" w:lineRule="auto"/>
              <w:ind w:left="220" w:leftChars="100" w:firstLine="0" w:firstLineChars="0"/>
              <w:jc w:val="center"/>
              <w:rPr>
                <w:sz w:val="24"/>
              </w:rPr>
            </w:pPr>
            <w:r>
              <w:rPr>
                <w:rFonts w:hint="eastAsia"/>
                <w:sz w:val="24"/>
              </w:rPr>
              <w:t>第五/六</w:t>
            </w:r>
            <w:r>
              <w:rPr>
                <w:sz w:val="24"/>
              </w:rPr>
              <w:t>位编码</w:t>
            </w:r>
          </w:p>
        </w:tc>
        <w:tc>
          <w:tcPr>
            <w:tcW w:w="1985" w:type="dxa"/>
            <w:vAlign w:val="center"/>
          </w:tcPr>
          <w:p>
            <w:pPr>
              <w:pStyle w:val="40"/>
              <w:wordWrap/>
              <w:spacing w:line="240" w:lineRule="auto"/>
              <w:ind w:firstLine="0" w:firstLineChars="0"/>
              <w:jc w:val="center"/>
              <w:rPr>
                <w:sz w:val="24"/>
              </w:rPr>
            </w:pPr>
            <w:r>
              <w:rPr>
                <w:rFonts w:hint="eastAsia"/>
                <w:sz w:val="24"/>
              </w:rPr>
              <w:t>明细序号</w:t>
            </w:r>
          </w:p>
        </w:tc>
        <w:tc>
          <w:tcPr>
            <w:tcW w:w="1275" w:type="dxa"/>
            <w:vAlign w:val="center"/>
          </w:tcPr>
          <w:p>
            <w:pPr>
              <w:pStyle w:val="40"/>
              <w:wordWrap/>
              <w:spacing w:line="320" w:lineRule="exact"/>
              <w:ind w:firstLine="0" w:firstLineChars="0"/>
              <w:jc w:val="center"/>
              <w:rPr>
                <w:sz w:val="24"/>
              </w:rPr>
            </w:pPr>
            <w:r>
              <w:rPr>
                <w:rFonts w:hint="eastAsia"/>
                <w:sz w:val="24"/>
              </w:rPr>
              <w:t>必选</w:t>
            </w:r>
          </w:p>
        </w:tc>
        <w:tc>
          <w:tcPr>
            <w:tcW w:w="4752" w:type="dxa"/>
            <w:vAlign w:val="center"/>
          </w:tcPr>
          <w:p>
            <w:pPr>
              <w:pStyle w:val="40"/>
              <w:wordWrap/>
              <w:spacing w:line="320" w:lineRule="exact"/>
              <w:ind w:left="220" w:leftChars="100" w:firstLine="0" w:firstLineChars="0"/>
              <w:jc w:val="both"/>
              <w:rPr>
                <w:sz w:val="24"/>
              </w:rPr>
            </w:pPr>
            <w:r>
              <w:rPr>
                <w:rFonts w:hint="eastAsia"/>
                <w:sz w:val="24"/>
              </w:rPr>
              <w:t>某类单据内容下设置的多</w:t>
            </w:r>
            <w:r>
              <w:rPr>
                <w:sz w:val="24"/>
              </w:rPr>
              <w:t>个扩展链接角色</w:t>
            </w:r>
            <w:r>
              <w:rPr>
                <w:rFonts w:hint="eastAsia"/>
                <w:sz w:val="24"/>
              </w:rPr>
              <w:t>，明细序号从01开始，顺序进行编号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1951" w:type="dxa"/>
            <w:vAlign w:val="center"/>
          </w:tcPr>
          <w:p>
            <w:pPr>
              <w:pStyle w:val="40"/>
              <w:wordWrap/>
              <w:spacing w:line="240" w:lineRule="auto"/>
              <w:ind w:left="220" w:leftChars="100" w:firstLine="0" w:firstLineChars="0"/>
              <w:jc w:val="center"/>
              <w:rPr>
                <w:sz w:val="24"/>
              </w:rPr>
            </w:pPr>
            <w:r>
              <w:rPr>
                <w:rFonts w:hint="eastAsia"/>
                <w:sz w:val="24"/>
              </w:rPr>
              <w:t>次</w:t>
            </w:r>
            <w:r>
              <w:rPr>
                <w:sz w:val="24"/>
              </w:rPr>
              <w:t>编码</w:t>
            </w:r>
          </w:p>
        </w:tc>
        <w:tc>
          <w:tcPr>
            <w:tcW w:w="1985" w:type="dxa"/>
            <w:vAlign w:val="center"/>
          </w:tcPr>
          <w:p>
            <w:pPr>
              <w:pStyle w:val="40"/>
              <w:wordWrap/>
              <w:spacing w:line="240" w:lineRule="auto"/>
              <w:ind w:firstLine="0" w:firstLineChars="0"/>
              <w:jc w:val="center"/>
              <w:rPr>
                <w:sz w:val="24"/>
              </w:rPr>
            </w:pPr>
            <w:r>
              <w:rPr>
                <w:rFonts w:hint="eastAsia"/>
                <w:sz w:val="24"/>
              </w:rPr>
              <w:t>拆分序号</w:t>
            </w:r>
          </w:p>
        </w:tc>
        <w:tc>
          <w:tcPr>
            <w:tcW w:w="1275" w:type="dxa"/>
            <w:vAlign w:val="center"/>
          </w:tcPr>
          <w:p>
            <w:pPr>
              <w:pStyle w:val="40"/>
              <w:wordWrap/>
              <w:spacing w:line="320" w:lineRule="exact"/>
              <w:ind w:firstLine="0" w:firstLineChars="0"/>
              <w:jc w:val="center"/>
              <w:rPr>
                <w:sz w:val="24"/>
              </w:rPr>
            </w:pPr>
            <w:r>
              <w:rPr>
                <w:rFonts w:hint="eastAsia"/>
                <w:sz w:val="24"/>
              </w:rPr>
              <w:t>可选</w:t>
            </w:r>
          </w:p>
        </w:tc>
        <w:tc>
          <w:tcPr>
            <w:tcW w:w="4752" w:type="dxa"/>
            <w:vAlign w:val="center"/>
          </w:tcPr>
          <w:p>
            <w:pPr>
              <w:pStyle w:val="40"/>
              <w:wordWrap/>
              <w:spacing w:line="320" w:lineRule="exact"/>
              <w:ind w:left="220" w:leftChars="100" w:firstLine="0" w:firstLineChars="0"/>
              <w:jc w:val="both"/>
              <w:rPr>
                <w:sz w:val="24"/>
              </w:rPr>
            </w:pPr>
            <w:r>
              <w:rPr>
                <w:rFonts w:hint="eastAsia"/>
                <w:sz w:val="24"/>
              </w:rPr>
              <w:t>如果某个</w:t>
            </w:r>
            <w:r>
              <w:rPr>
                <w:sz w:val="24"/>
              </w:rPr>
              <w:t>扩展链接</w:t>
            </w:r>
            <w:r>
              <w:rPr>
                <w:rFonts w:hint="eastAsia"/>
                <w:sz w:val="24"/>
              </w:rPr>
              <w:t>角色</w:t>
            </w:r>
            <w:r>
              <w:rPr>
                <w:sz w:val="24"/>
              </w:rPr>
              <w:t>对应</w:t>
            </w:r>
            <w:r>
              <w:rPr>
                <w:rFonts w:hint="eastAsia"/>
                <w:sz w:val="24"/>
              </w:rPr>
              <w:t>完整的询证项目</w:t>
            </w:r>
            <w:r>
              <w:rPr>
                <w:sz w:val="24"/>
              </w:rPr>
              <w:t>，</w:t>
            </w:r>
            <w:r>
              <w:rPr>
                <w:rFonts w:hint="eastAsia"/>
                <w:sz w:val="24"/>
              </w:rPr>
              <w:t>则不设置</w:t>
            </w:r>
            <w:r>
              <w:rPr>
                <w:sz w:val="24"/>
              </w:rPr>
              <w:t>拆分序号；如果</w:t>
            </w:r>
            <w:r>
              <w:rPr>
                <w:rFonts w:hint="eastAsia"/>
                <w:sz w:val="24"/>
              </w:rPr>
              <w:t>某个</w:t>
            </w:r>
            <w:r>
              <w:rPr>
                <w:sz w:val="24"/>
              </w:rPr>
              <w:t>扩展链接</w:t>
            </w:r>
            <w:r>
              <w:rPr>
                <w:rFonts w:hint="eastAsia"/>
                <w:sz w:val="24"/>
              </w:rPr>
              <w:t>角色</w:t>
            </w:r>
            <w:r>
              <w:rPr>
                <w:sz w:val="24"/>
              </w:rPr>
              <w:t>对应</w:t>
            </w:r>
            <w:r>
              <w:rPr>
                <w:rFonts w:hint="eastAsia"/>
                <w:sz w:val="24"/>
              </w:rPr>
              <w:t>询证项目</w:t>
            </w:r>
            <w:r>
              <w:rPr>
                <w:sz w:val="24"/>
              </w:rPr>
              <w:t>中的一组明细项目</w:t>
            </w:r>
            <w:r>
              <w:rPr>
                <w:rFonts w:hint="eastAsia"/>
                <w:sz w:val="24"/>
              </w:rPr>
              <w:t>，拆分序号为</w:t>
            </w:r>
            <w:r>
              <w:rPr>
                <w:sz w:val="24"/>
              </w:rPr>
              <w:t>字母编码，从a开始</w:t>
            </w:r>
            <w:r>
              <w:rPr>
                <w:rFonts w:hint="eastAsia"/>
                <w:sz w:val="24"/>
              </w:rPr>
              <w:t>，以此类推</w:t>
            </w:r>
          </w:p>
        </w:tc>
      </w:tr>
    </w:tbl>
    <w:p>
      <w:pPr>
        <w:pStyle w:val="39"/>
        <w:wordWrap/>
        <w:spacing w:after="0" w:line="560" w:lineRule="exact"/>
      </w:pPr>
      <w:r>
        <w:t>3</w:t>
      </w:r>
      <w:r>
        <w:rPr>
          <w:rFonts w:hint="eastAsia"/>
        </w:rPr>
        <w:t>．维度</w:t>
      </w:r>
    </w:p>
    <w:p>
      <w:pPr>
        <w:pStyle w:val="40"/>
        <w:wordWrap/>
        <w:spacing w:after="0" w:line="560" w:lineRule="exact"/>
      </w:pPr>
      <w:r>
        <w:rPr>
          <w:rFonts w:hint="eastAsia"/>
        </w:rPr>
        <w:t>维度是用来对存在维度结构的表格进行建模的一种XBRL技术。函证数据标准使用了类型化维度（Typed dimension），即</w:t>
      </w:r>
      <w:r>
        <w:t>域</w:t>
      </w:r>
      <w:r>
        <w:rPr>
          <w:rFonts w:hint="eastAsia"/>
        </w:rPr>
        <w:t>成员不能在函证数据标准</w:t>
      </w:r>
      <w:r>
        <w:t>中</w:t>
      </w:r>
      <w:r>
        <w:rPr>
          <w:rFonts w:hint="eastAsia"/>
        </w:rPr>
        <w:t>逐个</w:t>
      </w:r>
      <w:r>
        <w:t>枚举</w:t>
      </w:r>
      <w:r>
        <w:rPr>
          <w:rFonts w:hint="eastAsia"/>
        </w:rPr>
        <w:t>的</w:t>
      </w:r>
      <w:r>
        <w:t>维度</w:t>
      </w:r>
      <w:r>
        <w:rPr>
          <w:rFonts w:hint="eastAsia"/>
        </w:rPr>
        <w:t>，适用于在一张表中有结构相同的多行或者多列、但具体行列数无法事先确定的情况。类型化维度的xbrldt:typedDomainRef属性不能为空，该属性所指向的元素的数据类型为类型化维度域成员的数据类型。关于类型化维度域成员的定义要求，可参考“三、实例文档要素及解析方式说明”。</w:t>
      </w:r>
    </w:p>
    <w:p>
      <w:pPr>
        <w:pStyle w:val="40"/>
        <w:wordWrap/>
        <w:spacing w:after="0" w:line="560" w:lineRule="exact"/>
      </w:pPr>
      <w:r>
        <w:rPr>
          <w:rFonts w:hint="eastAsia"/>
        </w:rPr>
        <w:t>函证数据标准在两种具体场景下使用了</w:t>
      </w:r>
      <w:r>
        <w:t>类型化</w:t>
      </w:r>
      <w:r>
        <w:rPr>
          <w:rFonts w:hint="eastAsia"/>
        </w:rPr>
        <w:t>维度。一是函证编号，可以为询证函中的所有信息项增加维度信息，作为每一份数字询证函数据信息的唯一标识。二是自然序号，可以给同一类询证项目信息增加行次维度，满足同一类询证内容多条记录的同时披露。</w:t>
      </w:r>
    </w:p>
    <w:p>
      <w:pPr>
        <w:pStyle w:val="38"/>
        <w:wordWrap/>
        <w:spacing w:line="560" w:lineRule="exact"/>
        <w:rPr>
          <w:rFonts w:ascii="Times New Roman" w:hAnsi="Times New Roman"/>
          <w:b w:val="0"/>
        </w:rPr>
      </w:pPr>
      <w:r>
        <w:rPr>
          <w:rFonts w:hint="eastAsia" w:ascii="Times New Roman" w:hAnsi="Times New Roman"/>
        </w:rPr>
        <w:t>（二）物理</w:t>
      </w:r>
      <w:r>
        <w:rPr>
          <w:rFonts w:ascii="Times New Roman" w:hAnsi="Times New Roman"/>
        </w:rPr>
        <w:t>结构</w:t>
      </w:r>
    </w:p>
    <w:p>
      <w:pPr>
        <w:spacing w:line="560" w:lineRule="exact"/>
        <w:ind w:firstLine="560" w:firstLineChars="200"/>
        <w:rPr>
          <w:lang w:val="en-GB"/>
        </w:rPr>
      </w:pPr>
      <w:r>
        <w:rPr>
          <w:rFonts w:hint="eastAsia" w:ascii="Times New Roman" w:hAnsi="Times New Roman" w:eastAsia="仿宋_GB2312" w:cs="Arial"/>
          <w:sz w:val="28"/>
          <w:szCs w:val="32"/>
        </w:rPr>
        <w:t>从物理形态上来看，函证数据标准是一个电子文件包，文件结构如图2所示：</w:t>
      </w:r>
    </w:p>
    <w:p>
      <w:pPr>
        <w:tabs>
          <w:tab w:val="left" w:pos="710"/>
        </w:tabs>
        <w:jc w:val="center"/>
        <w:rPr>
          <w:rFonts w:ascii="Times New Roman" w:hAnsi="Times New Roman" w:eastAsia="仿宋_GB2312" w:cs="Arial"/>
          <w:sz w:val="28"/>
          <w:szCs w:val="32"/>
        </w:rPr>
      </w:pPr>
      <w:r>
        <w:object>
          <v:shape id="_x0000_i1025" o:spt="75" type="#_x0000_t75" style="height:84.65pt;width:486.1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r>
        <w:rPr>
          <w:rFonts w:ascii="Times New Roman" w:hAnsi="Times New Roman" w:eastAsia="仿宋_GB2312" w:cs="Times New Roman"/>
          <w:b/>
          <w:sz w:val="24"/>
          <w:szCs w:val="24"/>
        </w:rPr>
        <w:t>图 2：</w:t>
      </w:r>
      <w:r>
        <w:rPr>
          <w:rFonts w:hint="eastAsia" w:ascii="Times New Roman" w:hAnsi="Times New Roman" w:eastAsia="仿宋_GB2312" w:cs="Times New Roman"/>
          <w:b/>
          <w:sz w:val="24"/>
          <w:szCs w:val="24"/>
        </w:rPr>
        <w:t>函证数据标准</w:t>
      </w:r>
      <w:r>
        <w:rPr>
          <w:rFonts w:ascii="Times New Roman" w:hAnsi="Times New Roman" w:eastAsia="仿宋_GB2312" w:cs="Times New Roman"/>
          <w:b/>
          <w:sz w:val="24"/>
          <w:szCs w:val="24"/>
        </w:rPr>
        <w:t>的物理文件结构</w:t>
      </w:r>
    </w:p>
    <w:p>
      <w:pPr>
        <w:pStyle w:val="39"/>
        <w:wordWrap/>
        <w:spacing w:after="0" w:line="560" w:lineRule="exact"/>
      </w:pPr>
      <w:r>
        <w:rPr>
          <w:rFonts w:cs="Times New Roman"/>
        </w:rPr>
        <w:t>1</w:t>
      </w:r>
      <w:r>
        <w:rPr>
          <w:rFonts w:hint="eastAsia" w:cs="Times New Roman"/>
        </w:rPr>
        <w:t>．</w:t>
      </w:r>
      <w:r>
        <w:rPr>
          <w:rFonts w:hint="eastAsia"/>
        </w:rPr>
        <w:t>物理结构的组织方式</w:t>
      </w:r>
    </w:p>
    <w:p>
      <w:pPr>
        <w:spacing w:line="560" w:lineRule="exact"/>
        <w:ind w:firstLine="560" w:firstLineChars="200"/>
        <w:rPr>
          <w:rFonts w:ascii="Times New Roman" w:hAnsi="Times New Roman" w:eastAsia="仿宋_GB2312" w:cs="Arial"/>
          <w:sz w:val="28"/>
          <w:szCs w:val="32"/>
        </w:rPr>
      </w:pPr>
      <w:r>
        <w:rPr>
          <w:rFonts w:hint="eastAsia" w:ascii="Times New Roman" w:hAnsi="Times New Roman" w:eastAsia="仿宋_GB2312" w:cs="Arial"/>
          <w:sz w:val="28"/>
          <w:szCs w:val="32"/>
        </w:rPr>
        <w:t>函证数据标准以《银行询证函》为基础组织文件结构，图</w:t>
      </w:r>
      <w:r>
        <w:rPr>
          <w:rFonts w:ascii="Times New Roman" w:hAnsi="Times New Roman" w:eastAsia="仿宋_GB2312" w:cs="Arial"/>
          <w:sz w:val="28"/>
          <w:szCs w:val="32"/>
        </w:rPr>
        <w:t>3</w:t>
      </w:r>
      <w:r>
        <w:rPr>
          <w:rFonts w:hint="eastAsia" w:ascii="Times New Roman" w:hAnsi="Times New Roman" w:eastAsia="仿宋_GB2312" w:cs="Arial"/>
          <w:sz w:val="28"/>
          <w:szCs w:val="32"/>
        </w:rPr>
        <w:t>显示了函证数据标准文件夹及相关内容。</w:t>
      </w:r>
    </w:p>
    <w:p>
      <w:pPr>
        <w:spacing w:after="0" w:line="360" w:lineRule="auto"/>
        <w:ind w:firstLine="560" w:firstLineChars="200"/>
        <w:jc w:val="center"/>
        <w:rPr>
          <w:rFonts w:hint="eastAsia" w:ascii="Times New Roman" w:hAnsi="Times New Roman" w:eastAsia="仿宋_GB2312" w:cs="Arial"/>
          <w:sz w:val="28"/>
          <w:szCs w:val="32"/>
          <w:lang w:eastAsia="zh-CN"/>
        </w:rPr>
      </w:pPr>
      <w:r>
        <w:rPr>
          <w:rFonts w:hint="eastAsia" w:ascii="Times New Roman" w:hAnsi="Times New Roman" w:eastAsia="仿宋_GB2312" w:cs="Arial"/>
          <w:sz w:val="28"/>
          <w:szCs w:val="32"/>
          <w:lang w:eastAsia="zh-CN"/>
        </w:rPr>
        <w:drawing>
          <wp:inline distT="0" distB="0" distL="114300" distR="114300">
            <wp:extent cx="2809875" cy="1981200"/>
            <wp:effectExtent l="0" t="0" r="9525" b="0"/>
            <wp:docPr id="3" name="图片 3" descr="bd87773892e21b65ac5358f0eb6d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87773892e21b65ac5358f0eb6d965"/>
                    <pic:cNvPicPr>
                      <a:picLocks noChangeAspect="1"/>
                    </pic:cNvPicPr>
                  </pic:nvPicPr>
                  <pic:blipFill>
                    <a:blip r:embed="rId7"/>
                    <a:stretch>
                      <a:fillRect/>
                    </a:stretch>
                  </pic:blipFill>
                  <pic:spPr>
                    <a:xfrm>
                      <a:off x="0" y="0"/>
                      <a:ext cx="2809875" cy="1981200"/>
                    </a:xfrm>
                    <a:prstGeom prst="rect">
                      <a:avLst/>
                    </a:prstGeom>
                  </pic:spPr>
                </pic:pic>
              </a:graphicData>
            </a:graphic>
          </wp:inline>
        </w:drawing>
      </w:r>
      <w:bookmarkStart w:id="7" w:name="_GoBack"/>
      <w:bookmarkEnd w:id="7"/>
    </w:p>
    <w:p>
      <w:pPr>
        <w:pStyle w:val="31"/>
        <w:spacing w:afterLines="0" w:line="560" w:lineRule="exact"/>
        <w:ind w:firstLine="0" w:firstLineChars="0"/>
        <w:jc w:val="center"/>
        <w:rPr>
          <w:b/>
          <w:sz w:val="24"/>
          <w:szCs w:val="24"/>
        </w:rPr>
      </w:pPr>
      <w:r>
        <w:rPr>
          <w:rFonts w:hint="eastAsia"/>
          <w:b/>
          <w:sz w:val="24"/>
          <w:szCs w:val="24"/>
        </w:rPr>
        <w:t xml:space="preserve">图 </w:t>
      </w:r>
      <w:r>
        <w:rPr>
          <w:b/>
          <w:sz w:val="24"/>
          <w:szCs w:val="24"/>
        </w:rPr>
        <w:t>3</w:t>
      </w:r>
      <w:r>
        <w:rPr>
          <w:rFonts w:hint="eastAsia"/>
          <w:b/>
          <w:sz w:val="24"/>
          <w:szCs w:val="24"/>
        </w:rPr>
        <w:t>：函证数据文件夹及其内容</w:t>
      </w:r>
    </w:p>
    <w:p>
      <w:pPr>
        <w:pStyle w:val="39"/>
        <w:wordWrap/>
        <w:spacing w:after="0" w:line="560" w:lineRule="exact"/>
      </w:pPr>
      <w:r>
        <w:rPr>
          <w:rFonts w:hint="eastAsia"/>
        </w:rPr>
        <w:t>2．文件夹和文件结构说明</w:t>
      </w:r>
    </w:p>
    <w:p>
      <w:pPr>
        <w:pStyle w:val="40"/>
        <w:wordWrap/>
        <w:spacing w:after="0" w:line="560" w:lineRule="exact"/>
      </w:pPr>
      <w:r>
        <w:rPr>
          <w:rFonts w:hint="eastAsia"/>
        </w:rPr>
        <w:t>函证数据标准文件夹和文件结构及其内容的具体说明如下：</w:t>
      </w:r>
    </w:p>
    <w:p>
      <w:pPr>
        <w:pStyle w:val="41"/>
        <w:wordWrap/>
        <w:spacing w:after="0" w:line="560" w:lineRule="exact"/>
      </w:pPr>
      <w:r>
        <w:rPr>
          <w:rFonts w:hint="eastAsia"/>
        </w:rPr>
        <w:t>（1）根目录</w:t>
      </w:r>
      <w:r>
        <w:t>是</w:t>
      </w:r>
      <w:r>
        <w:rPr>
          <w:rFonts w:hint="eastAsia"/>
        </w:rPr>
        <w:t>函证数据标准</w:t>
      </w:r>
      <w:r>
        <w:t>文件的根文件夹，以</w:t>
      </w:r>
      <w:r>
        <w:rPr>
          <w:rFonts w:hint="eastAsia"/>
        </w:rPr>
        <w:t>函证数据标准版本日期命名。试行</w:t>
      </w:r>
      <w:r>
        <w:t>版</w:t>
      </w:r>
      <w:r>
        <w:rPr>
          <w:rFonts w:hint="eastAsia"/>
        </w:rPr>
        <w:t>标准的版本</w:t>
      </w:r>
      <w:r>
        <w:t>日期为20</w:t>
      </w:r>
      <w:r>
        <w:rPr>
          <w:rFonts w:hint="eastAsia"/>
        </w:rPr>
        <w:t>20年12月</w:t>
      </w:r>
      <w:r>
        <w:t>3</w:t>
      </w:r>
      <w:r>
        <w:rPr>
          <w:rFonts w:hint="eastAsia"/>
        </w:rPr>
        <w:t>1日</w:t>
      </w:r>
      <w:r>
        <w:t>。</w:t>
      </w:r>
    </w:p>
    <w:p>
      <w:pPr>
        <w:pStyle w:val="41"/>
        <w:wordWrap/>
        <w:spacing w:after="0" w:line="560" w:lineRule="exact"/>
      </w:pPr>
      <w:r>
        <w:rPr>
          <w:rFonts w:hint="eastAsia"/>
        </w:rPr>
        <w:t>（2）</w:t>
      </w:r>
      <w:bookmarkStart w:id="1" w:name="OLE_LINK12"/>
      <w:bookmarkStart w:id="2" w:name="OLE_LINK11"/>
      <w:r>
        <w:rPr>
          <w:rFonts w:hint="eastAsia"/>
        </w:rPr>
        <w:t>adds-on是存放函证数据标准引用的XBRL标准数据类型文件的文件夹。</w:t>
      </w:r>
    </w:p>
    <w:p>
      <w:pPr>
        <w:pStyle w:val="41"/>
        <w:wordWrap/>
        <w:spacing w:after="0" w:line="560" w:lineRule="exact"/>
      </w:pPr>
      <w:r>
        <w:rPr>
          <w:rFonts w:hint="eastAsia"/>
        </w:rPr>
        <w:t>（3）con-yyyymmdd.xsd</w:t>
      </w:r>
      <w:bookmarkEnd w:id="1"/>
      <w:bookmarkEnd w:id="2"/>
      <w:r>
        <w:rPr>
          <w:rFonts w:hint="eastAsia"/>
        </w:rPr>
        <w:t>是函证数据标准的模式文件，元素及扩展链接角色均存放在该文件中。</w:t>
      </w:r>
    </w:p>
    <w:p>
      <w:pPr>
        <w:pStyle w:val="41"/>
        <w:wordWrap/>
        <w:spacing w:after="0" w:line="560" w:lineRule="exact"/>
      </w:pPr>
      <w:r>
        <w:rPr>
          <w:rFonts w:hint="eastAsia"/>
        </w:rPr>
        <w:t>（</w:t>
      </w:r>
      <w:r>
        <w:t>4</w:t>
      </w:r>
      <w:r>
        <w:rPr>
          <w:rFonts w:hint="eastAsia"/>
        </w:rPr>
        <w:t>）con-yyyymmdd_pre.xml是函证数据标准的列报链接库。</w:t>
      </w:r>
    </w:p>
    <w:p>
      <w:pPr>
        <w:pStyle w:val="41"/>
        <w:wordWrap/>
        <w:spacing w:after="0" w:line="560" w:lineRule="exact"/>
      </w:pPr>
      <w:r>
        <w:rPr>
          <w:rFonts w:hint="eastAsia"/>
        </w:rPr>
        <w:t>（</w:t>
      </w:r>
      <w:r>
        <w:t>5</w:t>
      </w:r>
      <w:r>
        <w:rPr>
          <w:rFonts w:hint="eastAsia"/>
        </w:rPr>
        <w:t>）con-yyyymmdd_def.xml是函证数据标准的定义链接库。</w:t>
      </w:r>
    </w:p>
    <w:p>
      <w:pPr>
        <w:pStyle w:val="41"/>
        <w:wordWrap/>
        <w:spacing w:after="0" w:line="560" w:lineRule="exact"/>
      </w:pPr>
      <w:r>
        <w:rPr>
          <w:rFonts w:hint="eastAsia"/>
        </w:rPr>
        <w:t>（</w:t>
      </w:r>
      <w:r>
        <w:t>6</w:t>
      </w:r>
      <w:r>
        <w:rPr>
          <w:rFonts w:hint="eastAsia"/>
        </w:rPr>
        <w:t>）</w:t>
      </w:r>
      <w:r>
        <w:t>con-yyyymmdd_gla-{</w:t>
      </w:r>
      <w:r>
        <w:rPr>
          <w:rFonts w:hint="eastAsia"/>
        </w:rPr>
        <w:t>cn</w:t>
      </w:r>
      <w:r>
        <w:t>|en}.xml</w:t>
      </w:r>
      <w:r>
        <w:rPr>
          <w:rFonts w:hint="eastAsia"/>
        </w:rPr>
        <w:t>是定义扩展链接角色中英文标签的链接库文件。</w:t>
      </w:r>
    </w:p>
    <w:p>
      <w:pPr>
        <w:pStyle w:val="41"/>
        <w:wordWrap/>
        <w:spacing w:after="0" w:line="560" w:lineRule="exact"/>
      </w:pPr>
      <w:r>
        <w:rPr>
          <w:rFonts w:hint="eastAsia"/>
        </w:rPr>
        <w:t>（</w:t>
      </w:r>
      <w:r>
        <w:t>7</w:t>
      </w:r>
      <w:r>
        <w:rPr>
          <w:rFonts w:hint="eastAsia"/>
        </w:rPr>
        <w:t>）</w:t>
      </w:r>
      <w:r>
        <w:t>con-yyyymmdd_lab-{</w:t>
      </w:r>
      <w:r>
        <w:rPr>
          <w:rFonts w:hint="eastAsia"/>
        </w:rPr>
        <w:t>cn</w:t>
      </w:r>
      <w:r>
        <w:t>|en}.xml</w:t>
      </w:r>
      <w:r>
        <w:rPr>
          <w:rFonts w:hint="eastAsia"/>
        </w:rPr>
        <w:t>是定义元素中英文标签的链接库文件。</w:t>
      </w:r>
    </w:p>
    <w:p>
      <w:pPr>
        <w:pStyle w:val="39"/>
        <w:wordWrap/>
        <w:spacing w:after="0" w:line="560" w:lineRule="exact"/>
      </w:pPr>
      <w:r>
        <w:rPr>
          <w:rFonts w:cs="Times New Roman"/>
        </w:rPr>
        <w:t>3</w:t>
      </w:r>
      <w:r>
        <w:rPr>
          <w:rFonts w:hint="eastAsia" w:cs="Times New Roman"/>
        </w:rPr>
        <w:t>．绝对路径和</w:t>
      </w:r>
      <w:r>
        <w:rPr>
          <w:rFonts w:hint="eastAsia"/>
        </w:rPr>
        <w:t>相对路径</w:t>
      </w:r>
    </w:p>
    <w:p>
      <w:pPr>
        <w:pStyle w:val="40"/>
        <w:wordWrap/>
        <w:spacing w:after="0" w:line="560" w:lineRule="exact"/>
      </w:pPr>
      <w:r>
        <w:rPr>
          <w:rFonts w:hint="eastAsia"/>
        </w:rPr>
        <w:t>为便于使用者定位函证数据标准中的模式文件和链接库等文件，函证数据标准采用了绝对路径和相对路径两种定位方式。函证数据标准对XBRL标准数据类型的引用，采用绝对路径引用的方式，直接指向国际XBRL技术规范；函证数据标准内部各部分之间的引用，采用较为便捷的相对路径的方式，无须过多考虑文件的存储位置。</w:t>
      </w:r>
    </w:p>
    <w:p>
      <w:pPr>
        <w:pStyle w:val="40"/>
        <w:spacing w:after="0" w:line="560" w:lineRule="exact"/>
      </w:pPr>
      <w:r>
        <w:rPr>
          <w:rFonts w:hint="eastAsia"/>
        </w:rPr>
        <w:t>绝对路径的形式即为定义XBRL标准数据类型的地址。例如，要定位数字型数据分类标准模式文件时，其路径为：</w:t>
      </w:r>
    </w:p>
    <w:p>
      <w:pPr>
        <w:pStyle w:val="40"/>
        <w:spacing w:after="0" w:line="560" w:lineRule="exact"/>
      </w:pPr>
      <w:r>
        <w:t>http://www.xbrl.org/dtr/type/numeric-2009-12-16.xsd</w:t>
      </w:r>
    </w:p>
    <w:p>
      <w:pPr>
        <w:pStyle w:val="40"/>
        <w:wordWrap/>
        <w:spacing w:after="0" w:line="560" w:lineRule="exact"/>
      </w:pPr>
      <w:r>
        <w:rPr>
          <w:rFonts w:hint="eastAsia"/>
        </w:rPr>
        <w:t>相对路径以函证数据标准模式文件所在目录为当前目录，表5列举了部分函证数据标准文件的相对路径：</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5</w:t>
      </w:r>
      <w:r>
        <w:rPr>
          <w:b/>
          <w:sz w:val="24"/>
          <w:szCs w:val="24"/>
        </w:rPr>
        <w:fldChar w:fldCharType="end"/>
      </w:r>
      <w:r>
        <w:rPr>
          <w:rFonts w:hint="eastAsia"/>
          <w:b/>
          <w:sz w:val="24"/>
          <w:szCs w:val="24"/>
        </w:rPr>
        <w:t>：函证数据标准文件的相对路径举例</w:t>
      </w:r>
    </w:p>
    <w:tbl>
      <w:tblPr>
        <w:tblStyle w:val="15"/>
        <w:tblW w:w="996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jc w:val="center"/>
        </w:trPr>
        <w:tc>
          <w:tcPr>
            <w:tcW w:w="4981" w:type="dxa"/>
            <w:shd w:val="clear" w:color="auto" w:fill="auto"/>
            <w:vAlign w:val="center"/>
          </w:tcPr>
          <w:p>
            <w:pPr>
              <w:pStyle w:val="31"/>
              <w:spacing w:before="240" w:beforeLines="100" w:after="120" w:afterLines="0" w:line="240" w:lineRule="auto"/>
              <w:ind w:firstLine="0" w:firstLineChars="0"/>
              <w:jc w:val="center"/>
              <w:rPr>
                <w:b/>
                <w:sz w:val="24"/>
                <w:szCs w:val="24"/>
              </w:rPr>
            </w:pPr>
            <w:r>
              <w:rPr>
                <w:rFonts w:hint="eastAsia"/>
                <w:b/>
                <w:sz w:val="24"/>
                <w:szCs w:val="24"/>
              </w:rPr>
              <w:t>文件名</w:t>
            </w:r>
          </w:p>
        </w:tc>
        <w:tc>
          <w:tcPr>
            <w:tcW w:w="4982" w:type="dxa"/>
            <w:shd w:val="clear" w:color="auto" w:fill="auto"/>
            <w:vAlign w:val="center"/>
          </w:tcPr>
          <w:p>
            <w:pPr>
              <w:pStyle w:val="31"/>
              <w:spacing w:before="240" w:beforeLines="100" w:after="120" w:afterLines="0" w:line="240" w:lineRule="auto"/>
              <w:ind w:firstLine="0" w:firstLineChars="0"/>
              <w:jc w:val="center"/>
              <w:rPr>
                <w:b/>
                <w:sz w:val="24"/>
                <w:szCs w:val="24"/>
              </w:rPr>
            </w:pPr>
            <w:r>
              <w:rPr>
                <w:rFonts w:hint="eastAsia"/>
                <w:b/>
                <w:sz w:val="24"/>
                <w:szCs w:val="24"/>
              </w:rPr>
              <w:t>文件的相对路径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981" w:type="dxa"/>
            <w:shd w:val="clear" w:color="auto" w:fill="auto"/>
            <w:vAlign w:val="center"/>
          </w:tcPr>
          <w:p>
            <w:pPr>
              <w:pStyle w:val="31"/>
              <w:spacing w:after="0" w:afterLines="0" w:line="240" w:lineRule="auto"/>
              <w:ind w:firstLine="0" w:firstLineChars="0"/>
              <w:jc w:val="both"/>
              <w:rPr>
                <w:sz w:val="24"/>
                <w:szCs w:val="24"/>
              </w:rPr>
            </w:pPr>
            <w:r>
              <w:rPr>
                <w:rFonts w:hint="eastAsia"/>
                <w:sz w:val="24"/>
                <w:szCs w:val="24"/>
              </w:rPr>
              <w:t>模式文件：</w:t>
            </w:r>
          </w:p>
          <w:p>
            <w:pPr>
              <w:pStyle w:val="31"/>
              <w:spacing w:after="0" w:afterLines="0" w:line="240" w:lineRule="auto"/>
              <w:ind w:firstLine="0" w:firstLineChars="0"/>
              <w:jc w:val="both"/>
              <w:rPr>
                <w:sz w:val="24"/>
                <w:szCs w:val="24"/>
              </w:rPr>
            </w:pPr>
            <w:r>
              <w:rPr>
                <w:sz w:val="24"/>
                <w:szCs w:val="24"/>
              </w:rPr>
              <w:t>con-20201231.xsd</w:t>
            </w:r>
          </w:p>
        </w:tc>
        <w:tc>
          <w:tcPr>
            <w:tcW w:w="4982" w:type="dxa"/>
            <w:shd w:val="clear" w:color="auto" w:fill="auto"/>
            <w:vAlign w:val="center"/>
          </w:tcPr>
          <w:p>
            <w:pPr>
              <w:pStyle w:val="31"/>
              <w:spacing w:after="0" w:afterLines="0" w:line="240" w:lineRule="auto"/>
              <w:ind w:firstLine="0" w:firstLineChars="0"/>
              <w:jc w:val="both"/>
              <w:rPr>
                <w:sz w:val="24"/>
                <w:szCs w:val="24"/>
              </w:rPr>
            </w:pPr>
            <w:r>
              <w:rPr>
                <w:sz w:val="24"/>
                <w:szCs w:val="24"/>
              </w:rPr>
              <w:t>con-20201231.xsd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981" w:type="dxa"/>
            <w:shd w:val="clear" w:color="auto" w:fill="auto"/>
            <w:vAlign w:val="center"/>
          </w:tcPr>
          <w:p>
            <w:pPr>
              <w:pStyle w:val="31"/>
              <w:spacing w:after="0" w:afterLines="0" w:line="240" w:lineRule="auto"/>
              <w:ind w:firstLine="0" w:firstLineChars="0"/>
              <w:jc w:val="both"/>
              <w:rPr>
                <w:sz w:val="24"/>
                <w:szCs w:val="24"/>
              </w:rPr>
            </w:pPr>
            <w:r>
              <w:rPr>
                <w:rFonts w:hint="eastAsia"/>
                <w:sz w:val="24"/>
                <w:szCs w:val="24"/>
              </w:rPr>
              <w:t>列报链接库文件：</w:t>
            </w:r>
          </w:p>
          <w:p>
            <w:pPr>
              <w:pStyle w:val="31"/>
              <w:spacing w:after="0" w:afterLines="0" w:line="240" w:lineRule="auto"/>
              <w:ind w:firstLine="0" w:firstLineChars="0"/>
              <w:jc w:val="both"/>
              <w:rPr>
                <w:sz w:val="24"/>
                <w:szCs w:val="24"/>
              </w:rPr>
            </w:pPr>
            <w:r>
              <w:rPr>
                <w:sz w:val="24"/>
                <w:szCs w:val="24"/>
              </w:rPr>
              <w:t>con-20201231_pre.xml</w:t>
            </w:r>
          </w:p>
        </w:tc>
        <w:tc>
          <w:tcPr>
            <w:tcW w:w="4982" w:type="dxa"/>
            <w:shd w:val="clear" w:color="auto" w:fill="auto"/>
            <w:vAlign w:val="center"/>
          </w:tcPr>
          <w:p>
            <w:pPr>
              <w:pStyle w:val="31"/>
              <w:spacing w:after="0" w:afterLines="0" w:line="240" w:lineRule="auto"/>
              <w:ind w:firstLine="0" w:firstLineChars="0"/>
              <w:jc w:val="both"/>
              <w:rPr>
                <w:sz w:val="24"/>
                <w:szCs w:val="24"/>
              </w:rPr>
            </w:pPr>
            <w:r>
              <w:rPr>
                <w:sz w:val="24"/>
                <w:szCs w:val="24"/>
              </w:rPr>
              <w:t>con-20201231_pre.xml</w:t>
            </w:r>
          </w:p>
        </w:tc>
      </w:tr>
    </w:tbl>
    <w:p>
      <w:pPr>
        <w:pStyle w:val="39"/>
        <w:wordWrap/>
        <w:spacing w:after="0" w:line="560" w:lineRule="exact"/>
        <w:rPr>
          <w:rFonts w:cs="Times New Roman"/>
        </w:rPr>
      </w:pPr>
      <w:r>
        <w:rPr>
          <w:rFonts w:hint="eastAsia" w:cs="Times New Roman"/>
        </w:rPr>
        <w:t>4．命名空间</w:t>
      </w:r>
    </w:p>
    <w:p>
      <w:pPr>
        <w:pStyle w:val="40"/>
        <w:wordWrap/>
        <w:spacing w:after="0" w:line="560" w:lineRule="exact"/>
      </w:pPr>
      <w:r>
        <w:rPr>
          <w:rFonts w:hint="eastAsia"/>
        </w:rPr>
        <w:t>为便于使用者辨认特定版本数据标准所定义的元素、类型和关系，函证数据标准中包含了命名空间。函证数据标准命名空间即“</w:t>
      </w:r>
      <w:r>
        <w:t>http://xbrl.mof.gov.cn/</w:t>
      </w:r>
      <w:r>
        <w:rPr>
          <w:rFonts w:hint="eastAsia"/>
        </w:rPr>
        <w:t>taxonomy/2020-12-31/con”，命名空间前缀为银行询证函（confirmation）的缩写，即“con”。</w:t>
      </w:r>
    </w:p>
    <w:p>
      <w:pPr>
        <w:pStyle w:val="39"/>
        <w:wordWrap/>
        <w:spacing w:before="120" w:beforeLines="50" w:after="0" w:line="560" w:lineRule="exact"/>
      </w:pPr>
      <w:r>
        <w:rPr>
          <w:rFonts w:cs="Times New Roman"/>
        </w:rPr>
        <w:t>5</w:t>
      </w:r>
      <w:r>
        <w:rPr>
          <w:rFonts w:hint="eastAsia" w:cs="Times New Roman"/>
        </w:rPr>
        <w:t>．</w:t>
      </w:r>
      <w:r>
        <w:rPr>
          <w:rFonts w:hint="eastAsia"/>
        </w:rPr>
        <w:t>模式文件</w:t>
      </w:r>
    </w:p>
    <w:p>
      <w:pPr>
        <w:pStyle w:val="40"/>
        <w:wordWrap/>
        <w:spacing w:after="0" w:line="560" w:lineRule="exact"/>
      </w:pPr>
      <w:r>
        <w:rPr>
          <w:rFonts w:hint="eastAsia"/>
        </w:rPr>
        <w:t>函证数据标准使用模式文件定义元素、扩展链接角色等对象，文件后缀为“.xsd”，根据银行询证函内容确定的元素及扩展链接角色均存放在该文件中。</w:t>
      </w:r>
    </w:p>
    <w:p>
      <w:pPr>
        <w:pStyle w:val="39"/>
        <w:wordWrap/>
        <w:spacing w:after="0" w:line="560" w:lineRule="exact"/>
      </w:pPr>
      <w:r>
        <w:t>6</w:t>
      </w:r>
      <w:r>
        <w:rPr>
          <w:rFonts w:hint="eastAsia"/>
        </w:rPr>
        <w:t>．链接库</w:t>
      </w:r>
    </w:p>
    <w:p>
      <w:pPr>
        <w:pStyle w:val="40"/>
        <w:wordWrap/>
        <w:spacing w:after="0" w:line="560" w:lineRule="exact"/>
      </w:pPr>
      <w:r>
        <w:rPr>
          <w:rFonts w:hint="eastAsia"/>
        </w:rPr>
        <w:t>链接库是用来定义元素间关系的文件。函证数据标准使用了3种</w:t>
      </w:r>
      <w:bookmarkStart w:id="3" w:name="OLE_LINK52"/>
      <w:bookmarkStart w:id="4" w:name="OLE_LINK51"/>
      <w:r>
        <w:rPr>
          <w:rFonts w:hint="eastAsia"/>
        </w:rPr>
        <w:t>链接库：列报链接库（Presentation linkbase）、定义链接库（Definition linkbase）、标签链接库（Label linkbase）</w:t>
      </w:r>
      <w:bookmarkEnd w:id="3"/>
      <w:bookmarkEnd w:id="4"/>
      <w:r>
        <w:rPr>
          <w:rFonts w:hint="eastAsia"/>
        </w:rPr>
        <w:t>。</w:t>
      </w:r>
      <w:r>
        <w:t xml:space="preserve"> </w:t>
      </w:r>
    </w:p>
    <w:p>
      <w:pPr>
        <w:pStyle w:val="41"/>
        <w:wordWrap/>
        <w:spacing w:after="0" w:line="560" w:lineRule="exact"/>
      </w:pPr>
      <w:r>
        <w:rPr>
          <w:rFonts w:hint="eastAsia"/>
        </w:rPr>
        <w:t>（1）列报链接库</w:t>
      </w:r>
    </w:p>
    <w:p>
      <w:pPr>
        <w:pStyle w:val="40"/>
        <w:wordWrap/>
        <w:spacing w:after="0" w:line="560" w:lineRule="exact"/>
      </w:pPr>
      <w:r>
        <w:rPr>
          <w:rFonts w:hint="eastAsia"/>
        </w:rPr>
        <w:t>列报链接库用来定义元素与元素在列报上的层级关系和顺序关系。为了确保列报层级的一致性和元素间关系的连续性，函证数据标准在列报链接库的每一个扩展链接角色（ELR）中，都设置了一个抽象概念作为父元素。</w:t>
      </w:r>
    </w:p>
    <w:p>
      <w:pPr>
        <w:pStyle w:val="41"/>
        <w:wordWrap/>
        <w:spacing w:after="0" w:line="560" w:lineRule="exact"/>
      </w:pPr>
      <w:r>
        <w:rPr>
          <w:rFonts w:hint="eastAsia"/>
        </w:rPr>
        <w:t>（2）定义链接库</w:t>
      </w:r>
    </w:p>
    <w:p>
      <w:pPr>
        <w:pStyle w:val="40"/>
        <w:wordWrap/>
        <w:spacing w:after="0" w:line="560" w:lineRule="exact"/>
      </w:pPr>
      <w:r>
        <w:rPr>
          <w:rFonts w:hint="eastAsia"/>
        </w:rPr>
        <w:t>定义链接库用来表示元素间的定义层关系，如一般与特殊、原名与别名的关系等。函证数据标准中的维度关系也在定义链接库中表达。</w:t>
      </w:r>
    </w:p>
    <w:p>
      <w:pPr>
        <w:pStyle w:val="41"/>
        <w:wordWrap/>
        <w:spacing w:after="0" w:line="560" w:lineRule="exact"/>
      </w:pPr>
      <w:r>
        <w:rPr>
          <w:rFonts w:hint="eastAsia"/>
        </w:rPr>
        <w:t>（3）标签链接库</w:t>
      </w:r>
    </w:p>
    <w:p>
      <w:pPr>
        <w:pStyle w:val="40"/>
        <w:wordWrap/>
        <w:spacing w:after="0" w:line="560" w:lineRule="exact"/>
      </w:pPr>
      <w:r>
        <w:rPr>
          <w:rFonts w:hint="eastAsia"/>
        </w:rPr>
        <w:t>标签链接库用来表示元素及其显示名称间的对应关系，以将元素与人们更容易阅读和理解的名称联系起来。函证数据标准同时使用中文、英文定义元素标签。在确定标签时，遵循可读、简明、一致的命名规则。</w:t>
      </w:r>
    </w:p>
    <w:p>
      <w:pPr>
        <w:pStyle w:val="40"/>
        <w:wordWrap/>
        <w:spacing w:after="0" w:line="560" w:lineRule="exact"/>
      </w:pPr>
      <w:r>
        <w:rPr>
          <w:rFonts w:hint="eastAsia"/>
        </w:rPr>
        <w:t>同一个元素可能有多个不同标签，在同一种语言下每个标签有唯一的标签角色。标签角色规定了相应元素在特定情形下应当显示的恰当标签。函证数据标准使用的标签角色及说明如表</w:t>
      </w:r>
      <w:r>
        <w:t>6</w:t>
      </w:r>
      <w:r>
        <w:rPr>
          <w:rFonts w:hint="eastAsia"/>
        </w:rPr>
        <w:t>所示。</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6</w:t>
      </w:r>
      <w:r>
        <w:rPr>
          <w:b/>
          <w:sz w:val="24"/>
          <w:szCs w:val="24"/>
        </w:rPr>
        <w:fldChar w:fldCharType="end"/>
      </w:r>
      <w:r>
        <w:rPr>
          <w:rFonts w:hint="eastAsia"/>
          <w:b/>
          <w:sz w:val="24"/>
          <w:szCs w:val="24"/>
        </w:rPr>
        <w:t>：标签角色及说明</w:t>
      </w:r>
    </w:p>
    <w:tbl>
      <w:tblPr>
        <w:tblStyle w:val="15"/>
        <w:tblW w:w="9907"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62"/>
        <w:gridCol w:w="5324"/>
        <w:gridCol w:w="312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860" w:hRule="atLeast"/>
          <w:tblHeader/>
        </w:trPr>
        <w:tc>
          <w:tcPr>
            <w:tcW w:w="1462" w:type="dxa"/>
            <w:shd w:val="clear" w:color="auto" w:fill="auto"/>
            <w:vAlign w:val="center"/>
          </w:tcPr>
          <w:p>
            <w:pPr>
              <w:spacing w:after="0" w:line="5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标签角色</w:t>
            </w:r>
          </w:p>
        </w:tc>
        <w:tc>
          <w:tcPr>
            <w:tcW w:w="5324" w:type="dxa"/>
            <w:shd w:val="clear" w:color="auto" w:fill="auto"/>
            <w:vAlign w:val="center"/>
          </w:tcPr>
          <w:p>
            <w:pPr>
              <w:spacing w:after="0" w:line="5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标签角色的定义来源</w:t>
            </w:r>
          </w:p>
        </w:tc>
        <w:tc>
          <w:tcPr>
            <w:tcW w:w="3121" w:type="dxa"/>
            <w:shd w:val="clear" w:color="auto" w:fill="auto"/>
            <w:vAlign w:val="center"/>
          </w:tcPr>
          <w:p>
            <w:pPr>
              <w:spacing w:after="0" w:line="5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使用说明</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trPr>
        <w:tc>
          <w:tcPr>
            <w:tcW w:w="1462"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标准标签</w:t>
            </w:r>
          </w:p>
        </w:tc>
        <w:tc>
          <w:tcPr>
            <w:tcW w:w="5324" w:type="dxa"/>
            <w:shd w:val="clear" w:color="auto" w:fill="auto"/>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http://www.xbrl.org/2003/role/label</w:t>
            </w:r>
          </w:p>
        </w:tc>
        <w:tc>
          <w:tcPr>
            <w:tcW w:w="3121"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元素的标准标签</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63" w:hRule="exact"/>
        </w:trPr>
        <w:tc>
          <w:tcPr>
            <w:tcW w:w="1462"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长标签</w:t>
            </w:r>
          </w:p>
        </w:tc>
        <w:tc>
          <w:tcPr>
            <w:tcW w:w="5324" w:type="dxa"/>
            <w:shd w:val="clear" w:color="auto" w:fill="auto"/>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http://www.xbrl.org/2003/role/verboseLabel</w:t>
            </w:r>
          </w:p>
        </w:tc>
        <w:tc>
          <w:tcPr>
            <w:tcW w:w="3121"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对元素标签进行扩展时，为了准确表达标签含义而不能省略标签文字时使用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32" w:hRule="exact"/>
        </w:trPr>
        <w:tc>
          <w:tcPr>
            <w:tcW w:w="1462"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短标签</w:t>
            </w:r>
          </w:p>
        </w:tc>
        <w:tc>
          <w:tcPr>
            <w:tcW w:w="5324" w:type="dxa"/>
            <w:shd w:val="clear" w:color="auto" w:fill="auto"/>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http://www.xbrl.org/2003/role/terseLabel</w:t>
            </w:r>
          </w:p>
        </w:tc>
        <w:tc>
          <w:tcPr>
            <w:tcW w:w="3121"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在上下文环境中，可以对标签词汇进行省略时使用</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932" w:hRule="exact"/>
        </w:trPr>
        <w:tc>
          <w:tcPr>
            <w:tcW w:w="1462"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文档标签</w:t>
            </w:r>
          </w:p>
        </w:tc>
        <w:tc>
          <w:tcPr>
            <w:tcW w:w="5324" w:type="dxa"/>
            <w:shd w:val="clear" w:color="auto" w:fill="auto"/>
            <w:vAlign w:val="center"/>
          </w:tcPr>
          <w:p>
            <w:pPr>
              <w:spacing w:after="0" w:line="240" w:lineRule="auto"/>
              <w:jc w:val="both"/>
              <w:rPr>
                <w:rFonts w:ascii="Times New Roman" w:hAnsi="Times New Roman" w:eastAsia="仿宋_GB2312"/>
                <w:sz w:val="24"/>
                <w:szCs w:val="24"/>
              </w:rPr>
            </w:pPr>
            <w:r>
              <w:rPr>
                <w:rFonts w:ascii="Times New Roman" w:hAnsi="Times New Roman" w:eastAsia="仿宋_GB2312"/>
                <w:sz w:val="24"/>
                <w:szCs w:val="24"/>
              </w:rPr>
              <w:t>http://www.xbrl.org/2003/role/documentation</w:t>
            </w:r>
          </w:p>
        </w:tc>
        <w:tc>
          <w:tcPr>
            <w:tcW w:w="3121" w:type="dxa"/>
            <w:shd w:val="clear" w:color="auto" w:fill="auto"/>
            <w:vAlign w:val="center"/>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元素的说明文字，可以增强数据标准的可读性</w:t>
            </w:r>
          </w:p>
        </w:tc>
      </w:tr>
    </w:tbl>
    <w:p>
      <w:pPr>
        <w:pStyle w:val="41"/>
        <w:wordWrap/>
        <w:spacing w:after="0"/>
        <w:ind w:firstLine="0" w:firstLineChars="0"/>
      </w:pPr>
    </w:p>
    <w:p>
      <w:pPr>
        <w:pStyle w:val="37"/>
        <w:numPr>
          <w:ilvl w:val="0"/>
          <w:numId w:val="2"/>
        </w:numPr>
        <w:wordWrap/>
        <w:spacing w:line="560" w:lineRule="exact"/>
        <w:ind w:firstLineChars="0"/>
      </w:pPr>
      <w:r>
        <w:rPr>
          <w:rFonts w:hint="eastAsia"/>
        </w:rPr>
        <w:t>实例</w:t>
      </w:r>
      <w:r>
        <w:t>文档</w:t>
      </w:r>
      <w:r>
        <w:rPr>
          <w:rFonts w:hint="eastAsia"/>
        </w:rPr>
        <w:t>要素及解析方式说明</w:t>
      </w:r>
    </w:p>
    <w:p>
      <w:pPr>
        <w:pStyle w:val="40"/>
        <w:wordWrap/>
        <w:spacing w:after="0" w:line="560" w:lineRule="exact"/>
      </w:pPr>
      <w:r>
        <w:rPr>
          <w:rFonts w:hint="eastAsia"/>
        </w:rPr>
        <w:t>实例文档作为《银行询证函》结构化数据的载体，不仅包含了数据本身及其与函证数据标准元素之间的对应关系，同时也包含了数据相关的属性信息（如数据所属时间、单位等），这些信息使得标记数据能够与业务场景紧密关联起来</w:t>
      </w:r>
    </w:p>
    <w:p>
      <w:pPr>
        <w:pStyle w:val="40"/>
        <w:wordWrap/>
        <w:spacing w:after="0" w:line="560" w:lineRule="exact"/>
      </w:pPr>
      <w:r>
        <w:rPr>
          <w:rFonts w:hint="eastAsia"/>
        </w:rPr>
        <w:t>实例文档共包含五类内容，分别是根元素（</w:t>
      </w:r>
      <w:r>
        <w:t>xbrli:xbrl</w:t>
      </w:r>
      <w:r>
        <w:rPr>
          <w:rFonts w:hint="eastAsia"/>
        </w:rPr>
        <w:t>）、数据标准引用（</w:t>
      </w:r>
      <w:r>
        <w:t>link:schemaRef</w:t>
      </w:r>
      <w:r>
        <w:rPr>
          <w:rFonts w:hint="eastAsia"/>
        </w:rPr>
        <w:t>）、事实值（fact</w:t>
      </w:r>
      <w:r>
        <w:t>）</w:t>
      </w:r>
      <w:r>
        <w:rPr>
          <w:rFonts w:hint="eastAsia"/>
        </w:rPr>
        <w:t>、上下文（context）和单位（</w:t>
      </w:r>
      <w:r>
        <w:t>unit</w:t>
      </w:r>
      <w:r>
        <w:rPr>
          <w:rFonts w:hint="eastAsia"/>
        </w:rPr>
        <w:t>），使用者可结合三个要素的具体信息来进一步理解实例文档。</w:t>
      </w:r>
    </w:p>
    <w:p>
      <w:pPr>
        <w:pStyle w:val="38"/>
        <w:wordWrap/>
        <w:spacing w:line="560" w:lineRule="exact"/>
        <w:rPr>
          <w:rFonts w:ascii="Times New Roman" w:hAnsi="Times New Roman"/>
        </w:rPr>
      </w:pPr>
      <w:r>
        <w:rPr>
          <w:rFonts w:hint="eastAsia" w:ascii="Times New Roman" w:hAnsi="Times New Roman"/>
        </w:rPr>
        <w:t>（一）根元素</w:t>
      </w:r>
    </w:p>
    <w:p>
      <w:pPr>
        <w:pStyle w:val="40"/>
        <w:wordWrap/>
        <w:spacing w:after="0" w:line="560" w:lineRule="exact"/>
      </w:pPr>
      <w:r>
        <w:rPr>
          <w:rFonts w:hint="eastAsia"/>
        </w:rPr>
        <w:t>实例文档根元素的标签名是&lt;xbrli:xbrl&gt;，根元素标签的属性是实例文档所引用的所有命名空间信息，其中也包括函证数据标准前缀con，具体如下表7所示：</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fldChar w:fldCharType="begin"/>
      </w:r>
      <w:r>
        <w:rPr>
          <w:b/>
          <w:sz w:val="24"/>
          <w:szCs w:val="24"/>
        </w:rPr>
        <w:instrText xml:space="preserve"> </w:instrText>
      </w:r>
      <w:r>
        <w:rPr>
          <w:rFonts w:hint="eastAsia"/>
          <w:b/>
          <w:sz w:val="24"/>
          <w:szCs w:val="24"/>
        </w:rPr>
        <w:instrText xml:space="preserve">SEQ 表 \* ARABIC</w:instrText>
      </w:r>
      <w:r>
        <w:rPr>
          <w:b/>
          <w:sz w:val="24"/>
          <w:szCs w:val="24"/>
        </w:rPr>
        <w:instrText xml:space="preserve"> </w:instrText>
      </w:r>
      <w:r>
        <w:rPr>
          <w:b/>
          <w:sz w:val="24"/>
          <w:szCs w:val="24"/>
        </w:rPr>
        <w:fldChar w:fldCharType="separate"/>
      </w:r>
      <w:r>
        <w:rPr>
          <w:b/>
          <w:sz w:val="24"/>
          <w:szCs w:val="24"/>
        </w:rPr>
        <w:t>7</w:t>
      </w:r>
      <w:r>
        <w:rPr>
          <w:b/>
          <w:sz w:val="24"/>
          <w:szCs w:val="24"/>
        </w:rPr>
        <w:fldChar w:fldCharType="end"/>
      </w:r>
      <w:r>
        <w:rPr>
          <w:rFonts w:hint="eastAsia"/>
          <w:b/>
          <w:sz w:val="24"/>
          <w:szCs w:val="24"/>
        </w:rPr>
        <w:t>：函证数据标准标记内容</w:t>
      </w:r>
    </w:p>
    <w:tbl>
      <w:tblPr>
        <w:tblStyle w:val="15"/>
        <w:tblW w:w="996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247"/>
        <w:gridCol w:w="34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blHeader/>
          <w:jc w:val="center"/>
        </w:trPr>
        <w:tc>
          <w:tcPr>
            <w:tcW w:w="1241"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前缀</w:t>
            </w:r>
          </w:p>
        </w:tc>
        <w:tc>
          <w:tcPr>
            <w:tcW w:w="5247"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命名空间URL</w:t>
            </w:r>
          </w:p>
        </w:tc>
        <w:tc>
          <w:tcPr>
            <w:tcW w:w="3475"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con</w:t>
            </w:r>
          </w:p>
        </w:tc>
        <w:tc>
          <w:tcPr>
            <w:tcW w:w="5247" w:type="dxa"/>
          </w:tcPr>
          <w:p>
            <w:pPr>
              <w:spacing w:after="0" w:line="560" w:lineRule="exact"/>
              <w:jc w:val="both"/>
              <w:rPr>
                <w:rFonts w:ascii="Times New Roman" w:hAnsi="Times New Roman" w:eastAsia="仿宋_GB2312"/>
                <w:color w:val="000000"/>
                <w:sz w:val="24"/>
                <w:szCs w:val="24"/>
              </w:rPr>
            </w:pPr>
            <w:r>
              <w:rPr>
                <w:rFonts w:ascii="Times New Roman" w:hAnsi="Times New Roman" w:eastAsia="仿宋_GB2312"/>
                <w:sz w:val="24"/>
                <w:szCs w:val="24"/>
              </w:rPr>
              <w:t>http://xbrl.mof.gov.cn/taxonomy/2020-12-31/con</w:t>
            </w:r>
          </w:p>
        </w:tc>
        <w:tc>
          <w:tcPr>
            <w:tcW w:w="3475"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函证数据标准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nonnum</w:t>
            </w:r>
          </w:p>
        </w:tc>
        <w:tc>
          <w:tcPr>
            <w:tcW w:w="5247"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http://www.xbrl.org/dtr/type/non-numeric</w:t>
            </w:r>
          </w:p>
        </w:tc>
        <w:tc>
          <w:tcPr>
            <w:tcW w:w="3475" w:type="dxa"/>
          </w:tcPr>
          <w:p>
            <w:pPr>
              <w:spacing w:after="0" w:line="240" w:lineRule="auto"/>
              <w:jc w:val="both"/>
              <w:rPr>
                <w:rFonts w:ascii="Times New Roman" w:hAnsi="Times New Roman" w:eastAsia="仿宋_GB2312"/>
                <w:color w:val="000000"/>
                <w:sz w:val="24"/>
                <w:szCs w:val="24"/>
              </w:rPr>
            </w:pPr>
            <w:r>
              <w:rPr>
                <w:rFonts w:hint="eastAsia" w:ascii="Times New Roman" w:hAnsi="Times New Roman" w:eastAsia="仿宋_GB2312"/>
                <w:sz w:val="24"/>
                <w:szCs w:val="24"/>
              </w:rPr>
              <w:t>domainItemType数据类型命名空间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s="宋体"/>
                <w:sz w:val="24"/>
                <w:szCs w:val="24"/>
              </w:rPr>
            </w:pPr>
            <w:r>
              <w:rPr>
                <w:rFonts w:hint="eastAsia" w:ascii="Times New Roman" w:hAnsi="Times New Roman" w:eastAsia="仿宋_GB2312"/>
                <w:sz w:val="24"/>
                <w:szCs w:val="24"/>
              </w:rPr>
              <w:t>num</w:t>
            </w:r>
          </w:p>
        </w:tc>
        <w:tc>
          <w:tcPr>
            <w:tcW w:w="5247"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http://www.xbrl.org/dtr/type/numeric</w:t>
            </w:r>
          </w:p>
        </w:tc>
        <w:tc>
          <w:tcPr>
            <w:tcW w:w="3475" w:type="dxa"/>
          </w:tcPr>
          <w:p>
            <w:pPr>
              <w:spacing w:after="0" w:line="240" w:lineRule="auto"/>
              <w:jc w:val="both"/>
              <w:rPr>
                <w:rFonts w:ascii="Times New Roman" w:hAnsi="Times New Roman" w:eastAsia="仿宋_GB2312"/>
                <w:color w:val="000000"/>
                <w:sz w:val="24"/>
                <w:szCs w:val="24"/>
              </w:rPr>
            </w:pPr>
            <w:r>
              <w:rPr>
                <w:rFonts w:hint="eastAsia" w:ascii="Times New Roman" w:hAnsi="Times New Roman" w:eastAsia="仿宋_GB2312"/>
                <w:sz w:val="24"/>
                <w:szCs w:val="24"/>
              </w:rPr>
              <w:t>percentItemType数据类型命名空间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s="宋体"/>
                <w:sz w:val="24"/>
                <w:szCs w:val="24"/>
              </w:rPr>
            </w:pPr>
            <w:r>
              <w:rPr>
                <w:rFonts w:hint="eastAsia" w:ascii="Times New Roman" w:hAnsi="Times New Roman" w:eastAsia="仿宋_GB2312"/>
                <w:sz w:val="24"/>
                <w:szCs w:val="24"/>
              </w:rPr>
              <w:t>xbrldt</w:t>
            </w:r>
          </w:p>
        </w:tc>
        <w:tc>
          <w:tcPr>
            <w:tcW w:w="5247"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http://xbrl.org/2005/xbrldt</w:t>
            </w:r>
          </w:p>
        </w:tc>
        <w:tc>
          <w:tcPr>
            <w:tcW w:w="3475"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立方体、维度替换组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s="宋体"/>
                <w:sz w:val="24"/>
                <w:szCs w:val="24"/>
              </w:rPr>
            </w:pPr>
            <w:r>
              <w:rPr>
                <w:rFonts w:hint="eastAsia" w:ascii="Times New Roman" w:hAnsi="Times New Roman" w:eastAsia="仿宋_GB2312"/>
                <w:sz w:val="24"/>
                <w:szCs w:val="24"/>
              </w:rPr>
              <w:t>label</w:t>
            </w:r>
          </w:p>
        </w:tc>
        <w:tc>
          <w:tcPr>
            <w:tcW w:w="5247"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http://xbrl.org/2008/label</w:t>
            </w:r>
          </w:p>
        </w:tc>
        <w:tc>
          <w:tcPr>
            <w:tcW w:w="3475"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&lt;label&gt;标签定义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cs="宋体"/>
                <w:sz w:val="24"/>
                <w:szCs w:val="24"/>
              </w:rPr>
            </w:pPr>
            <w:r>
              <w:rPr>
                <w:rFonts w:hint="eastAsia" w:ascii="Times New Roman" w:hAnsi="Times New Roman" w:eastAsia="仿宋_GB2312"/>
                <w:sz w:val="24"/>
                <w:szCs w:val="24"/>
              </w:rPr>
              <w:t>xl</w:t>
            </w:r>
          </w:p>
        </w:tc>
        <w:tc>
          <w:tcPr>
            <w:tcW w:w="5247"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http://www.xbrl.org/2003/XLink</w:t>
            </w:r>
          </w:p>
        </w:tc>
        <w:tc>
          <w:tcPr>
            <w:tcW w:w="3475" w:type="dxa"/>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sz w:val="24"/>
                <w:szCs w:val="24"/>
              </w:rPr>
              <w:t>XBRL技术规范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link</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http://www.xbrl.org/2003/linkbase</w:t>
            </w:r>
          </w:p>
        </w:tc>
        <w:tc>
          <w:tcPr>
            <w:tcW w:w="3475"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XBRL技术规范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xlink</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http://www.w3.org/1999/xlink</w:t>
            </w:r>
          </w:p>
        </w:tc>
        <w:tc>
          <w:tcPr>
            <w:tcW w:w="3475"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XBRL技术规范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xbrldi</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http://xbrl.org/2006/xbrldi</w:t>
            </w:r>
          </w:p>
        </w:tc>
        <w:tc>
          <w:tcPr>
            <w:tcW w:w="3475" w:type="dxa"/>
          </w:tcPr>
          <w:p>
            <w:pPr>
              <w:spacing w:after="0" w:line="240" w:lineRule="auto"/>
              <w:jc w:val="both"/>
              <w:rPr>
                <w:rFonts w:ascii="Times New Roman" w:hAnsi="Times New Roman" w:eastAsia="仿宋_GB2312"/>
                <w:sz w:val="24"/>
                <w:szCs w:val="24"/>
              </w:rPr>
            </w:pPr>
            <w:r>
              <w:rPr>
                <w:rFonts w:hint="eastAsia" w:ascii="Times New Roman" w:hAnsi="Times New Roman" w:eastAsia="仿宋_GB2312"/>
                <w:sz w:val="24"/>
                <w:szCs w:val="24"/>
              </w:rPr>
              <w:t>类型化维度成员typedMember标签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xbrli</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http://www.xbrl.org/2003/instance</w:t>
            </w:r>
          </w:p>
        </w:tc>
        <w:tc>
          <w:tcPr>
            <w:tcW w:w="3475"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XBRL技术规范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gen</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http://xbrl.org/2008/generic</w:t>
            </w:r>
          </w:p>
        </w:tc>
        <w:tc>
          <w:tcPr>
            <w:tcW w:w="3475"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&lt;arc&gt;、&lt;link&gt;标签定义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iso4217</w:t>
            </w:r>
          </w:p>
        </w:tc>
        <w:tc>
          <w:tcPr>
            <w:tcW w:w="5247"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http://www.xbrl.org/2003/iso4217</w:t>
            </w:r>
          </w:p>
        </w:tc>
        <w:tc>
          <w:tcPr>
            <w:tcW w:w="3475" w:type="dxa"/>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计量单位定义</w:t>
            </w:r>
          </w:p>
        </w:tc>
      </w:tr>
    </w:tbl>
    <w:p>
      <w:pPr>
        <w:pStyle w:val="38"/>
        <w:wordWrap/>
        <w:spacing w:line="560" w:lineRule="exact"/>
        <w:rPr>
          <w:rFonts w:ascii="Times New Roman" w:hAnsi="Times New Roman"/>
        </w:rPr>
      </w:pPr>
      <w:r>
        <w:rPr>
          <w:rFonts w:hint="eastAsia" w:ascii="Times New Roman" w:hAnsi="Times New Roman"/>
        </w:rPr>
        <w:t>（二）数据标准引用</w:t>
      </w:r>
    </w:p>
    <w:p>
      <w:pPr>
        <w:pStyle w:val="40"/>
        <w:wordWrap/>
        <w:spacing w:after="0" w:line="560" w:lineRule="exact"/>
        <w:ind w:firstLine="562" w:firstLineChars="0"/>
      </w:pPr>
      <w:r>
        <w:rPr>
          <w:rFonts w:hint="eastAsia"/>
        </w:rPr>
        <w:t>每一份实例文档都是基于一套数据标准编制的，数据标准是解析实例文档的基础。在根标签中，使用</w:t>
      </w:r>
      <w:r>
        <w:t>&lt;link:schemaRef&gt;</w:t>
      </w:r>
      <w:r>
        <w:rPr>
          <w:rFonts w:hint="eastAsia"/>
        </w:rPr>
        <w:t>标签定义实例文档对数据标准文件的引用，通过“</w:t>
      </w:r>
      <w:r>
        <w:t>xlink:href</w:t>
      </w:r>
      <w:r>
        <w:rPr>
          <w:rFonts w:hint="eastAsia"/>
        </w:rPr>
        <w:t>”指向引用数据标准的相对地址：</w:t>
      </w:r>
    </w:p>
    <w:p>
      <w:pPr>
        <w:pStyle w:val="40"/>
        <w:wordWrap/>
        <w:spacing w:after="0" w:line="560" w:lineRule="exact"/>
        <w:ind w:firstLine="562" w:firstLineChars="0"/>
      </w:pPr>
      <w:r>
        <w:t>&lt;link:schemaRef xlink:type="simple" xlink:href="</w:t>
      </w:r>
      <w:r>
        <w:rPr>
          <w:rFonts w:hint="eastAsia"/>
        </w:rPr>
        <w:t>con</w:t>
      </w:r>
      <w:r>
        <w:t>-20201231.xsd"/&gt;</w:t>
      </w:r>
    </w:p>
    <w:p>
      <w:pPr>
        <w:pStyle w:val="38"/>
        <w:wordWrap/>
        <w:spacing w:line="560" w:lineRule="exact"/>
        <w:rPr>
          <w:rFonts w:ascii="Times New Roman" w:hAnsi="Times New Roman"/>
        </w:rPr>
      </w:pPr>
      <w:r>
        <w:rPr>
          <w:rFonts w:hint="eastAsia" w:ascii="Times New Roman" w:hAnsi="Times New Roman"/>
        </w:rPr>
        <w:t>（三</w:t>
      </w:r>
      <w:r>
        <w:rPr>
          <w:rFonts w:ascii="Times New Roman" w:hAnsi="Times New Roman"/>
        </w:rPr>
        <w:t>）</w:t>
      </w:r>
      <w:r>
        <w:rPr>
          <w:rFonts w:hint="eastAsia" w:ascii="Times New Roman" w:hAnsi="Times New Roman"/>
        </w:rPr>
        <w:t>事实值</w:t>
      </w:r>
    </w:p>
    <w:p>
      <w:pPr>
        <w:pStyle w:val="40"/>
        <w:wordWrap/>
        <w:spacing w:after="0" w:line="560" w:lineRule="exact"/>
      </w:pPr>
      <w:r>
        <w:rPr>
          <w:rFonts w:hint="eastAsia"/>
        </w:rPr>
        <w:t>事实值就是《银行询证函》版面信息填写</w:t>
      </w:r>
      <w:r>
        <w:t>的</w:t>
      </w:r>
      <w:r>
        <w:rPr>
          <w:rFonts w:hint="eastAsia"/>
        </w:rPr>
        <w:t>内容，例如对于“</w:t>
      </w:r>
      <w:r>
        <w:rPr>
          <w:rFonts w:hint="eastAsia" w:cs="宋体"/>
          <w:szCs w:val="21"/>
        </w:rPr>
        <w:t>银行账号</w:t>
      </w:r>
      <w:r>
        <w:rPr>
          <w:rFonts w:hint="eastAsia"/>
        </w:rPr>
        <w:t>”这个项目，其事实值就是银行账户的账号信息。通过为元素赋值，并指定上下文、单位和精度属性，来完成对于事实值的完整定义。赋予实例文档的事实值可为数值（金额、十进制数字等）或非数值数据（字符串或者转义文本，例如XHTML格式内容）。事实值也可为日期类型和时间类型。表</w:t>
      </w:r>
      <w:r>
        <w:t>8</w:t>
      </w:r>
      <w:r>
        <w:rPr>
          <w:rFonts w:hint="eastAsia"/>
        </w:rPr>
        <w:t>列示了部分事实值。</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t>8</w:t>
      </w:r>
      <w:r>
        <w:rPr>
          <w:rFonts w:hint="eastAsia"/>
          <w:b/>
          <w:sz w:val="24"/>
          <w:szCs w:val="24"/>
        </w:rPr>
        <w:t>：事实值举例</w:t>
      </w:r>
    </w:p>
    <w:tbl>
      <w:tblPr>
        <w:tblStyle w:val="15"/>
        <w:tblW w:w="996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4322"/>
        <w:gridCol w:w="28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72"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银行询证函项目信息</w:t>
            </w:r>
          </w:p>
        </w:tc>
        <w:tc>
          <w:tcPr>
            <w:tcW w:w="4322"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数据类型</w:t>
            </w:r>
          </w:p>
        </w:tc>
        <w:tc>
          <w:tcPr>
            <w:tcW w:w="2869" w:type="dxa"/>
            <w:shd w:val="clear" w:color="auto" w:fill="auto"/>
            <w:vAlign w:val="center"/>
          </w:tcPr>
          <w:p>
            <w:pPr>
              <w:spacing w:after="0" w:line="560" w:lineRule="exact"/>
              <w:jc w:val="center"/>
              <w:rPr>
                <w:rFonts w:ascii="Times New Roman" w:hAnsi="Times New Roman" w:eastAsia="仿宋_GB2312"/>
                <w:b/>
                <w:color w:val="000000"/>
                <w:sz w:val="24"/>
                <w:szCs w:val="24"/>
              </w:rPr>
            </w:pPr>
            <w:r>
              <w:rPr>
                <w:rFonts w:hint="eastAsia" w:ascii="Times New Roman" w:hAnsi="Times New Roman" w:eastAsia="仿宋_GB2312"/>
                <w:b/>
                <w:color w:val="000000"/>
                <w:sz w:val="24"/>
                <w:szCs w:val="24"/>
              </w:rPr>
              <w:t>事实值例举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7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银行账户余额</w:t>
            </w:r>
          </w:p>
        </w:tc>
        <w:tc>
          <w:tcPr>
            <w:tcW w:w="432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数值型（金额）</w:t>
            </w:r>
          </w:p>
        </w:tc>
        <w:tc>
          <w:tcPr>
            <w:tcW w:w="2869" w:type="dxa"/>
            <w:vAlign w:val="center"/>
          </w:tcPr>
          <w:p>
            <w:pPr>
              <w:spacing w:after="0" w:line="560" w:lineRule="exact"/>
              <w:jc w:val="both"/>
              <w:rPr>
                <w:rFonts w:ascii="Times New Roman" w:hAnsi="Times New Roman" w:eastAsia="仿宋_GB2312"/>
                <w:color w:val="000000"/>
                <w:sz w:val="24"/>
                <w:szCs w:val="24"/>
              </w:rPr>
            </w:pPr>
            <w:r>
              <w:rPr>
                <w:rFonts w:ascii="Times New Roman" w:hAnsi="Times New Roman" w:eastAsia="仿宋_GB2312"/>
                <w:color w:val="000000"/>
                <w:sz w:val="24"/>
                <w:szCs w:val="24"/>
              </w:rPr>
              <w:t>6,000,000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72" w:type="dxa"/>
            <w:vAlign w:val="center"/>
          </w:tcPr>
          <w:p>
            <w:pPr>
              <w:spacing w:after="0" w:line="560" w:lineRule="exact"/>
              <w:jc w:val="both"/>
              <w:rPr>
                <w:rFonts w:ascii="Times New Roman" w:hAnsi="Times New Roman" w:eastAsia="仿宋_GB2312"/>
                <w:color w:val="000000"/>
                <w:sz w:val="24"/>
                <w:szCs w:val="24"/>
              </w:rPr>
            </w:pPr>
            <w:r>
              <w:rPr>
                <w:rFonts w:hint="eastAsia" w:eastAsia="仿宋_GB2312" w:cs="宋体"/>
                <w:szCs w:val="21"/>
              </w:rPr>
              <w:t>银行借款起始日期</w:t>
            </w:r>
          </w:p>
        </w:tc>
        <w:tc>
          <w:tcPr>
            <w:tcW w:w="432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日期型</w:t>
            </w:r>
          </w:p>
        </w:tc>
        <w:tc>
          <w:tcPr>
            <w:tcW w:w="2869"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2020-12-31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7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账户名称</w:t>
            </w:r>
          </w:p>
        </w:tc>
        <w:tc>
          <w:tcPr>
            <w:tcW w:w="432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文本型</w:t>
            </w:r>
          </w:p>
        </w:tc>
        <w:tc>
          <w:tcPr>
            <w:tcW w:w="2869"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A公司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7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汇率</w:t>
            </w:r>
          </w:p>
        </w:tc>
        <w:tc>
          <w:tcPr>
            <w:tcW w:w="4322"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百分比型</w:t>
            </w:r>
          </w:p>
        </w:tc>
        <w:tc>
          <w:tcPr>
            <w:tcW w:w="2869" w:type="dxa"/>
            <w:vAlign w:val="center"/>
          </w:tcPr>
          <w:p>
            <w:pPr>
              <w:spacing w:after="0" w:line="560" w:lineRule="exact"/>
              <w:jc w:val="both"/>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4.3%</w:t>
            </w:r>
          </w:p>
        </w:tc>
      </w:tr>
    </w:tbl>
    <w:p>
      <w:pPr>
        <w:pStyle w:val="39"/>
        <w:wordWrap/>
        <w:spacing w:after="0" w:line="560" w:lineRule="exact"/>
        <w:outlineLvl w:val="9"/>
        <w:rPr>
          <w:rFonts w:cs="Times New Roman"/>
        </w:rPr>
      </w:pPr>
    </w:p>
    <w:p>
      <w:pPr>
        <w:pStyle w:val="39"/>
        <w:wordWrap/>
        <w:spacing w:after="0" w:line="560" w:lineRule="exact"/>
        <w:outlineLvl w:val="9"/>
      </w:pPr>
      <w:r>
        <w:rPr>
          <w:rFonts w:cs="Times New Roman"/>
        </w:rPr>
        <w:t>1</w:t>
      </w:r>
      <w:r>
        <w:rPr>
          <w:rFonts w:hint="eastAsia" w:cs="Times New Roman"/>
        </w:rPr>
        <w:t>．</w:t>
      </w:r>
      <w:r>
        <w:rPr>
          <w:rFonts w:hint="eastAsia"/>
        </w:rPr>
        <w:t>数值型事实值</w:t>
      </w:r>
    </w:p>
    <w:p>
      <w:pPr>
        <w:pStyle w:val="40"/>
        <w:wordWrap/>
        <w:spacing w:after="0" w:line="560" w:lineRule="exact"/>
      </w:pPr>
      <w:r>
        <w:rPr>
          <w:rFonts w:hint="eastAsia"/>
        </w:rPr>
        <w:t>数值型事实值的定义，除了通过contextRef指向一个预定义的上下文（context），还会通过unitRef指向一个预定的单位（unit），并通过事实值的decimal（小数点后位数）属性表达数据的精确度，图</w:t>
      </w:r>
      <w:r>
        <w:t>4</w:t>
      </w:r>
      <w:r>
        <w:rPr>
          <w:rFonts w:hint="eastAsia"/>
        </w:rPr>
        <w:t>是“银行账户余额”对应的事实值定义信息：</w:t>
      </w:r>
    </w:p>
    <w:p>
      <w:pPr>
        <w:pStyle w:val="40"/>
        <w:wordWrap/>
        <w:spacing w:after="0" w:line="560" w:lineRule="exact"/>
      </w:pPr>
    </w:p>
    <w:tbl>
      <w:tblPr>
        <w:tblStyle w:val="15"/>
        <w:tblW w:w="9963" w:type="dxa"/>
        <w:tblInd w:w="0" w:type="dxa"/>
        <w:shd w:val="clear" w:color="auto" w:fill="F1F1F1" w:themeFill="background1" w:themeFillShade="F2"/>
        <w:tblLayout w:type="fixed"/>
        <w:tblCellMar>
          <w:top w:w="0" w:type="dxa"/>
          <w:left w:w="108" w:type="dxa"/>
          <w:bottom w:w="0" w:type="dxa"/>
          <w:right w:w="108" w:type="dxa"/>
        </w:tblCellMar>
      </w:tblPr>
      <w:tblGrid>
        <w:gridCol w:w="9963"/>
      </w:tblGrid>
      <w:tr>
        <w:tblPrEx>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pStyle w:val="40"/>
              <w:spacing w:after="240" w:afterLines="100" w:line="560" w:lineRule="exact"/>
              <w:ind w:firstLine="0" w:firstLineChars="0"/>
              <w:rPr>
                <w:sz w:val="24"/>
                <w:szCs w:val="24"/>
              </w:rPr>
            </w:pPr>
            <w:r>
              <w:rPr>
                <w:sz w:val="24"/>
                <w:szCs w:val="24"/>
              </w:rPr>
              <w:t>&lt;con:</w:t>
            </w:r>
            <w:r>
              <w:t xml:space="preserve"> </w:t>
            </w:r>
            <w:r>
              <w:rPr>
                <w:sz w:val="24"/>
                <w:szCs w:val="24"/>
              </w:rPr>
              <w:t>BankBalance contextRef="As_of_20</w:t>
            </w:r>
            <w:r>
              <w:rPr>
                <w:rFonts w:hint="eastAsia"/>
                <w:sz w:val="24"/>
                <w:szCs w:val="24"/>
              </w:rPr>
              <w:t>20</w:t>
            </w:r>
            <w:r>
              <w:rPr>
                <w:sz w:val="24"/>
                <w:szCs w:val="24"/>
              </w:rPr>
              <w:t>_12_31_NumberOfConfirmationLineNumberAxis_3031100045 _NumberOfNaturalSequenceLineNumberAxis_</w:t>
            </w:r>
            <w:r>
              <w:rPr>
                <w:rFonts w:hint="eastAsia"/>
                <w:sz w:val="24"/>
                <w:szCs w:val="24"/>
              </w:rPr>
              <w:t>3</w:t>
            </w:r>
            <w:r>
              <w:rPr>
                <w:sz w:val="24"/>
                <w:szCs w:val="24"/>
              </w:rPr>
              <w:t>" decimals="2" unitRef="CNY"&gt;1000000.00&lt;/con:</w:t>
            </w:r>
            <w:r>
              <w:t xml:space="preserve"> </w:t>
            </w:r>
            <w:r>
              <w:rPr>
                <w:sz w:val="24"/>
                <w:szCs w:val="24"/>
              </w:rPr>
              <w:t>BankBalance &gt;</w:t>
            </w:r>
          </w:p>
        </w:tc>
      </w:tr>
    </w:tbl>
    <w:p>
      <w:pPr>
        <w:pStyle w:val="40"/>
        <w:wordWrap/>
        <w:spacing w:after="0" w:line="560" w:lineRule="exact"/>
        <w:ind w:firstLine="0" w:firstLineChars="0"/>
        <w:jc w:val="center"/>
        <w:rPr>
          <w:b/>
          <w:sz w:val="24"/>
          <w:szCs w:val="24"/>
        </w:rPr>
      </w:pPr>
      <w:r>
        <w:rPr>
          <w:rFonts w:hint="eastAsia"/>
          <w:b/>
          <w:sz w:val="24"/>
          <w:szCs w:val="24"/>
        </w:rPr>
        <w:t>图</w:t>
      </w:r>
      <w:r>
        <w:rPr>
          <w:b/>
          <w:sz w:val="24"/>
          <w:szCs w:val="24"/>
        </w:rPr>
        <w:t>4</w:t>
      </w:r>
      <w:r>
        <w:rPr>
          <w:rFonts w:hint="eastAsia"/>
          <w:b/>
          <w:sz w:val="24"/>
          <w:szCs w:val="24"/>
        </w:rPr>
        <w:t>：数值型事实值定义方式示例</w:t>
      </w:r>
    </w:p>
    <w:p>
      <w:pPr>
        <w:pStyle w:val="39"/>
        <w:wordWrap/>
        <w:spacing w:after="0" w:line="560" w:lineRule="exact"/>
        <w:ind w:firstLine="0" w:firstLineChars="0"/>
        <w:outlineLvl w:val="9"/>
        <w:rPr>
          <w:rFonts w:cs="Times New Roman"/>
        </w:rPr>
      </w:pPr>
    </w:p>
    <w:p>
      <w:pPr>
        <w:pStyle w:val="39"/>
        <w:wordWrap/>
        <w:spacing w:after="0" w:line="560" w:lineRule="exact"/>
        <w:outlineLvl w:val="9"/>
      </w:pPr>
      <w:r>
        <w:rPr>
          <w:rFonts w:cs="Times New Roman"/>
        </w:rPr>
        <w:t>2</w:t>
      </w:r>
      <w:r>
        <w:rPr>
          <w:rFonts w:hint="eastAsia" w:cs="Times New Roman"/>
        </w:rPr>
        <w:t>．</w:t>
      </w:r>
      <w:r>
        <w:rPr>
          <w:rFonts w:hint="eastAsia"/>
        </w:rPr>
        <w:t>非数值型事实值</w:t>
      </w:r>
    </w:p>
    <w:p>
      <w:pPr>
        <w:pStyle w:val="40"/>
        <w:wordWrap/>
        <w:spacing w:after="0" w:line="560" w:lineRule="exact"/>
        <w:ind w:firstLine="562" w:firstLineChars="0"/>
      </w:pPr>
      <w:r>
        <w:rPr>
          <w:rFonts w:hint="eastAsia"/>
        </w:rPr>
        <w:t>非数值型事实值的定义，是将事实值赋予给对应的元素名，并通过contextRef指向一个预定义的上下文（context），图</w:t>
      </w:r>
      <w:r>
        <w:t>5</w:t>
      </w:r>
      <w:r>
        <w:rPr>
          <w:rFonts w:hint="eastAsia"/>
        </w:rPr>
        <w:t>为“账户名称”对应的事实值定义信息：</w:t>
      </w:r>
    </w:p>
    <w:p>
      <w:pPr>
        <w:pStyle w:val="40"/>
        <w:wordWrap/>
        <w:spacing w:after="0" w:line="560" w:lineRule="exact"/>
        <w:ind w:firstLine="562" w:firstLineChars="0"/>
      </w:pPr>
    </w:p>
    <w:tbl>
      <w:tblPr>
        <w:tblStyle w:val="15"/>
        <w:tblW w:w="9963" w:type="dxa"/>
        <w:tblInd w:w="0" w:type="dxa"/>
        <w:shd w:val="clear" w:color="auto" w:fill="F1F1F1" w:themeFill="background1" w:themeFillShade="F2"/>
        <w:tblLayout w:type="fixed"/>
        <w:tblCellMar>
          <w:top w:w="0" w:type="dxa"/>
          <w:left w:w="108" w:type="dxa"/>
          <w:bottom w:w="0" w:type="dxa"/>
          <w:right w:w="108" w:type="dxa"/>
        </w:tblCellMar>
      </w:tblPr>
      <w:tblGrid>
        <w:gridCol w:w="9963"/>
      </w:tblGrid>
      <w:tr>
        <w:tblPrEx>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pStyle w:val="40"/>
              <w:spacing w:after="240" w:afterLines="100" w:line="560" w:lineRule="exact"/>
              <w:ind w:firstLine="0" w:firstLineChars="0"/>
              <w:rPr>
                <w:sz w:val="24"/>
                <w:szCs w:val="24"/>
              </w:rPr>
            </w:pPr>
            <w:r>
              <w:rPr>
                <w:rFonts w:hint="eastAsia"/>
                <w:sz w:val="24"/>
                <w:szCs w:val="24"/>
              </w:rPr>
              <w:t>&lt;con:</w:t>
            </w:r>
            <w:r>
              <w:rPr>
                <w:sz w:val="24"/>
                <w:szCs w:val="24"/>
              </w:rPr>
              <w:t>NameOfBankAccount</w:t>
            </w:r>
            <w:r>
              <w:rPr>
                <w:rFonts w:hint="eastAsia"/>
                <w:sz w:val="24"/>
                <w:szCs w:val="24"/>
              </w:rPr>
              <w:t xml:space="preserve"> contextRef="As_of_2020_12_31_</w:t>
            </w:r>
            <w:r>
              <w:rPr>
                <w:sz w:val="24"/>
                <w:szCs w:val="24"/>
              </w:rPr>
              <w:t xml:space="preserve"> NumberOfConfirmationLineNumberAxis_3031100045 _NumberOfNaturalSequenceLineNumberAxis_</w:t>
            </w:r>
            <w:r>
              <w:rPr>
                <w:rFonts w:hint="eastAsia"/>
                <w:sz w:val="24"/>
                <w:szCs w:val="24"/>
              </w:rPr>
              <w:t>3 "&gt;A公司&lt;/con:</w:t>
            </w:r>
            <w:r>
              <w:rPr>
                <w:sz w:val="24"/>
                <w:szCs w:val="24"/>
              </w:rPr>
              <w:t>NameOfBankAccount</w:t>
            </w:r>
            <w:r>
              <w:rPr>
                <w:rFonts w:hint="eastAsia"/>
                <w:sz w:val="24"/>
                <w:szCs w:val="24"/>
              </w:rPr>
              <w:t>&gt;</w:t>
            </w:r>
          </w:p>
        </w:tc>
      </w:tr>
    </w:tbl>
    <w:p>
      <w:pPr>
        <w:pStyle w:val="40"/>
        <w:wordWrap/>
        <w:spacing w:after="0" w:line="560" w:lineRule="exact"/>
        <w:ind w:firstLine="0" w:firstLineChars="0"/>
        <w:jc w:val="center"/>
        <w:rPr>
          <w:b/>
          <w:sz w:val="24"/>
          <w:szCs w:val="24"/>
        </w:rPr>
      </w:pPr>
      <w:r>
        <w:rPr>
          <w:rFonts w:hint="eastAsia"/>
          <w:b/>
          <w:sz w:val="24"/>
          <w:szCs w:val="24"/>
        </w:rPr>
        <w:t>图</w:t>
      </w:r>
      <w:r>
        <w:rPr>
          <w:b/>
          <w:sz w:val="24"/>
          <w:szCs w:val="24"/>
        </w:rPr>
        <w:t>5</w:t>
      </w:r>
      <w:r>
        <w:rPr>
          <w:rFonts w:hint="eastAsia"/>
          <w:b/>
          <w:sz w:val="24"/>
          <w:szCs w:val="24"/>
        </w:rPr>
        <w:t>：非数值型事实值定义方式示例</w:t>
      </w:r>
    </w:p>
    <w:p>
      <w:pPr>
        <w:pStyle w:val="40"/>
        <w:wordWrap/>
        <w:spacing w:after="0" w:line="560" w:lineRule="exact"/>
        <w:ind w:firstLine="0" w:firstLineChars="0"/>
      </w:pPr>
    </w:p>
    <w:p>
      <w:pPr>
        <w:pStyle w:val="38"/>
        <w:wordWrap/>
        <w:spacing w:line="560" w:lineRule="exact"/>
        <w:rPr>
          <w:rFonts w:ascii="Times New Roman" w:hAnsi="Times New Roman"/>
        </w:rPr>
      </w:pPr>
      <w:r>
        <w:rPr>
          <w:rFonts w:hint="eastAsia" w:ascii="Times New Roman" w:hAnsi="Times New Roman"/>
        </w:rPr>
        <w:t>（四</w:t>
      </w:r>
      <w:r>
        <w:rPr>
          <w:rFonts w:ascii="Times New Roman" w:hAnsi="Times New Roman"/>
        </w:rPr>
        <w:t>）</w:t>
      </w:r>
      <w:r>
        <w:rPr>
          <w:rFonts w:hint="eastAsia" w:ascii="Times New Roman" w:hAnsi="Times New Roman"/>
        </w:rPr>
        <w:t>上下文</w:t>
      </w:r>
    </w:p>
    <w:p>
      <w:pPr>
        <w:pStyle w:val="40"/>
        <w:wordWrap/>
        <w:spacing w:after="0" w:line="560" w:lineRule="exact"/>
        <w:rPr>
          <w:color w:val="000000"/>
          <w:szCs w:val="24"/>
          <w:lang w:val="en-GB"/>
        </w:rPr>
      </w:pPr>
      <w:r>
        <w:rPr>
          <w:rFonts w:hint="eastAsia"/>
        </w:rPr>
        <w:t>每个事实值都会通过contextRef属性赋予的上下文ID指向预定义的上下文（context）。</w:t>
      </w:r>
      <w:r>
        <w:rPr>
          <w:color w:val="000000"/>
          <w:szCs w:val="24"/>
          <w:lang w:val="en-GB"/>
        </w:rPr>
        <w:t>通过指定上下文，才能够确定事实值的具体含义</w:t>
      </w:r>
      <w:r>
        <w:rPr>
          <w:rFonts w:hint="eastAsia"/>
          <w:color w:val="000000"/>
          <w:szCs w:val="24"/>
          <w:lang w:val="en-GB"/>
        </w:rPr>
        <w:t>。</w:t>
      </w:r>
    </w:p>
    <w:p>
      <w:pPr>
        <w:pStyle w:val="40"/>
        <w:wordWrap/>
        <w:spacing w:after="0" w:line="560" w:lineRule="exact"/>
      </w:pPr>
      <w:r>
        <w:rPr>
          <w:rFonts w:hint="eastAsia"/>
        </w:rPr>
        <w:t>上下文要素包括：实体信息（entity）、时期信息（period）和场景信息（scenario）。在根标签下，使用使用&lt;xbrli:context&gt;标签定义元素数据的上下文信息，下设子标签&lt;xbrli:entity&gt;、&lt;xbrli:period&gt;、&lt;xbrli:scenario&gt;，用于标记上文所述的实体信息、时期信息和场景信息。</w:t>
      </w:r>
    </w:p>
    <w:p>
      <w:pPr>
        <w:pStyle w:val="39"/>
        <w:wordWrap/>
        <w:spacing w:after="0" w:line="560" w:lineRule="exact"/>
        <w:outlineLvl w:val="9"/>
      </w:pPr>
      <w:r>
        <w:rPr>
          <w:rFonts w:cs="Times New Roman"/>
        </w:rPr>
        <w:t>1</w:t>
      </w:r>
      <w:r>
        <w:rPr>
          <w:rFonts w:hint="eastAsia" w:cs="Times New Roman"/>
        </w:rPr>
        <w:t>．</w:t>
      </w:r>
      <w:r>
        <w:rPr>
          <w:rFonts w:hint="eastAsia"/>
        </w:rPr>
        <w:t>实体信息</w:t>
      </w:r>
    </w:p>
    <w:p>
      <w:pPr>
        <w:pStyle w:val="40"/>
        <w:wordWrap/>
        <w:spacing w:after="0" w:line="560" w:lineRule="exact"/>
      </w:pPr>
      <w:r>
        <w:rPr>
          <w:rFonts w:hint="eastAsia"/>
        </w:rPr>
        <w:t>实体信息即指实例文档数据的发布者信息，使用标签&lt;xbrli:entity&gt;标记。在银行询证函中，使用被审计单位的统一社会信用代码作为实体的唯一标识码，在&lt;xbrli:identifier&gt;标签的文本中标记。</w:t>
      </w:r>
    </w:p>
    <w:p>
      <w:pPr>
        <w:pStyle w:val="39"/>
        <w:wordWrap/>
        <w:spacing w:after="0" w:line="560" w:lineRule="exact"/>
        <w:outlineLvl w:val="9"/>
      </w:pPr>
      <w:r>
        <w:rPr>
          <w:rFonts w:cs="Times New Roman"/>
        </w:rPr>
        <w:t>2</w:t>
      </w:r>
      <w:r>
        <w:rPr>
          <w:rFonts w:hint="eastAsia" w:cs="Times New Roman"/>
        </w:rPr>
        <w:t>．</w:t>
      </w:r>
      <w:r>
        <w:rPr>
          <w:rFonts w:hint="eastAsia"/>
        </w:rPr>
        <w:t>时期信息</w:t>
      </w:r>
    </w:p>
    <w:p>
      <w:pPr>
        <w:pStyle w:val="40"/>
        <w:wordWrap/>
        <w:spacing w:after="0" w:line="560" w:lineRule="exact"/>
      </w:pPr>
      <w:r>
        <w:rPr>
          <w:rFonts w:hint="eastAsia"/>
          <w:color w:val="000000"/>
          <w:szCs w:val="24"/>
          <w:lang w:val="en-GB"/>
        </w:rPr>
        <w:t>时期信息</w:t>
      </w:r>
      <w:r>
        <w:rPr>
          <w:color w:val="000000"/>
          <w:szCs w:val="24"/>
          <w:lang w:val="en-GB"/>
        </w:rPr>
        <w:t>是指事实值所对应的日期或期间</w:t>
      </w:r>
      <w:r>
        <w:rPr>
          <w:rFonts w:hint="eastAsia"/>
          <w:color w:val="000000"/>
          <w:szCs w:val="24"/>
          <w:lang w:val="en-GB"/>
        </w:rPr>
        <w:t>，</w:t>
      </w:r>
      <w:r>
        <w:rPr>
          <w:rFonts w:hint="eastAsia"/>
        </w:rPr>
        <w:t>使用标签&lt;xbrli:period&gt;标记。在银行询证函中，期间类型为时点型的，使用&lt;xbrli:instant&gt;标签表示，统一采用yyyy-mm-dd的日期格式。期间类型为时段型的，使用&lt;xbrli:</w:t>
      </w:r>
      <w:r>
        <w:t xml:space="preserve"> startDate</w:t>
      </w:r>
      <w:r>
        <w:rPr>
          <w:rFonts w:hint="eastAsia"/>
        </w:rPr>
        <w:t>&gt;标签和&lt;xbrli:</w:t>
      </w:r>
      <w:r>
        <w:t xml:space="preserve"> </w:t>
      </w:r>
      <w:r>
        <w:rPr>
          <w:rFonts w:hint="eastAsia"/>
        </w:rPr>
        <w:t>end</w:t>
      </w:r>
      <w:r>
        <w:t>Date</w:t>
      </w:r>
      <w:r>
        <w:rPr>
          <w:rFonts w:hint="eastAsia"/>
        </w:rPr>
        <w:t>&gt;分别表示期间的起始日期和截至日期，同样采用yyyy-mm-dd日期格式。</w:t>
      </w:r>
    </w:p>
    <w:p>
      <w:pPr>
        <w:pStyle w:val="39"/>
        <w:wordWrap/>
        <w:spacing w:after="0" w:line="560" w:lineRule="exact"/>
        <w:outlineLvl w:val="9"/>
      </w:pPr>
      <w:r>
        <w:rPr>
          <w:rFonts w:cs="Times New Roman"/>
        </w:rPr>
        <w:t>3</w:t>
      </w:r>
      <w:r>
        <w:rPr>
          <w:rFonts w:hint="eastAsia" w:cs="Times New Roman"/>
        </w:rPr>
        <w:t>．</w:t>
      </w:r>
      <w:r>
        <w:rPr>
          <w:rFonts w:hint="eastAsia"/>
        </w:rPr>
        <w:t>场景信息</w:t>
      </w:r>
    </w:p>
    <w:p>
      <w:pPr>
        <w:pStyle w:val="40"/>
        <w:wordWrap/>
        <w:spacing w:after="0" w:line="560" w:lineRule="exact"/>
      </w:pPr>
      <w:r>
        <w:rPr>
          <w:rFonts w:hint="eastAsia"/>
        </w:rPr>
        <w:t>场景信息是基于维度的上下文需要定义的信息，一般包含涉及的轴（axis）和域成员（member）信息，使用标签&lt;xbrli:scenario&gt;标记。</w:t>
      </w:r>
    </w:p>
    <w:p>
      <w:pPr>
        <w:pStyle w:val="40"/>
        <w:wordWrap/>
        <w:spacing w:after="0" w:line="560" w:lineRule="exact"/>
      </w:pPr>
      <w:r>
        <w:rPr>
          <w:rFonts w:hint="eastAsia"/>
        </w:rPr>
        <w:t>维度信息可以进一步</w:t>
      </w:r>
      <w:r>
        <w:t>分为明确维度</w:t>
      </w:r>
      <w:r>
        <w:rPr>
          <w:rFonts w:hint="eastAsia"/>
        </w:rPr>
        <w:t>和</w:t>
      </w:r>
      <w:bookmarkStart w:id="5" w:name="OLE_LINK13"/>
      <w:bookmarkStart w:id="6" w:name="OLE_LINK14"/>
      <w:r>
        <w:t>类型化维度</w:t>
      </w:r>
      <w:r>
        <w:rPr>
          <w:rFonts w:hint="eastAsia"/>
        </w:rPr>
        <w:t>，场景</w:t>
      </w:r>
      <w:r>
        <w:t>信息</w:t>
      </w:r>
      <w:r>
        <w:rPr>
          <w:rFonts w:hint="eastAsia"/>
        </w:rPr>
        <w:t>中涉及</w:t>
      </w:r>
      <w:r>
        <w:t>的</w:t>
      </w:r>
      <w:r>
        <w:rPr>
          <w:rFonts w:hint="eastAsia"/>
        </w:rPr>
        <w:t>所有</w:t>
      </w:r>
      <w:r>
        <w:t>域成员</w:t>
      </w:r>
      <w:bookmarkEnd w:id="5"/>
      <w:bookmarkEnd w:id="6"/>
      <w:r>
        <w:rPr>
          <w:rFonts w:hint="eastAsia"/>
        </w:rPr>
        <w:t>都已</w:t>
      </w:r>
      <w:r>
        <w:t>在</w:t>
      </w:r>
      <w:r>
        <w:rPr>
          <w:rFonts w:hint="eastAsia"/>
        </w:rPr>
        <w:t>函证数据标准</w:t>
      </w:r>
      <w:r>
        <w:t>中明确定义</w:t>
      </w:r>
      <w:r>
        <w:rPr>
          <w:rFonts w:hint="eastAsia"/>
        </w:rPr>
        <w:t>了</w:t>
      </w:r>
      <w:r>
        <w:t>上下文</w:t>
      </w:r>
      <w:r>
        <w:rPr>
          <w:rFonts w:hint="eastAsia"/>
        </w:rPr>
        <w:t>的为</w:t>
      </w:r>
      <w:r>
        <w:t>明确维度</w:t>
      </w:r>
      <w:r>
        <w:rPr>
          <w:rFonts w:hint="eastAsia"/>
        </w:rPr>
        <w:t>；场景</w:t>
      </w:r>
      <w:r>
        <w:t>信息</w:t>
      </w:r>
      <w:r>
        <w:rPr>
          <w:rFonts w:hint="eastAsia"/>
        </w:rPr>
        <w:t>中涉及</w:t>
      </w:r>
      <w:r>
        <w:t>的</w:t>
      </w:r>
      <w:r>
        <w:rPr>
          <w:rFonts w:hint="eastAsia"/>
        </w:rPr>
        <w:t>所有域成员只能</w:t>
      </w:r>
      <w:r>
        <w:t>在</w:t>
      </w:r>
      <w:r>
        <w:rPr>
          <w:rFonts w:hint="eastAsia"/>
        </w:rPr>
        <w:t>实例文档</w:t>
      </w:r>
      <w:r>
        <w:t>中定义的</w:t>
      </w:r>
      <w:r>
        <w:rPr>
          <w:rFonts w:hint="eastAsia"/>
        </w:rPr>
        <w:t>上下</w:t>
      </w:r>
      <w:r>
        <w:t>文为类型化维度</w:t>
      </w:r>
      <w:r>
        <w:rPr>
          <w:rFonts w:hint="eastAsia"/>
        </w:rPr>
        <w:t>。函证数据标准中定义了类型化维度，即“函证编号”和“自然序号”维度，和明确化维度，即“询证项目”和“被审验单位类型”维度。“函证编号”域成员的取值就是询证函的唯一编号，“自然序号”域成员的取值就是同一询证项目下每条记录的行次，“询证项目”域成员的取值就是《银行函证及回函工作操作指引》列举出的1-14项询证及附表信息，“被审验单位类型”域成员的取值是进行验资业务的被审验单位的三种类型，分别是一般企业、拟设立企业和外商投资（外放出资）企业。</w:t>
      </w:r>
    </w:p>
    <w:p>
      <w:pPr>
        <w:pStyle w:val="40"/>
        <w:wordWrap/>
        <w:spacing w:after="0" w:line="560" w:lineRule="exact"/>
      </w:pPr>
      <w:r>
        <w:rPr>
          <w:rFonts w:hint="eastAsia"/>
        </w:rPr>
        <w:t xml:space="preserve">场景信息中类型化维度“函证编号”的定义方式如下图所示： </w:t>
      </w:r>
    </w:p>
    <w:tbl>
      <w:tblPr>
        <w:tblStyle w:val="15"/>
        <w:tblW w:w="9963" w:type="dxa"/>
        <w:tblInd w:w="0" w:type="dxa"/>
        <w:shd w:val="clear" w:color="auto" w:fill="F1F1F1" w:themeFill="background1" w:themeFillShade="F2"/>
        <w:tblLayout w:type="fixed"/>
        <w:tblCellMar>
          <w:top w:w="0" w:type="dxa"/>
          <w:left w:w="108" w:type="dxa"/>
          <w:bottom w:w="0" w:type="dxa"/>
          <w:right w:w="108" w:type="dxa"/>
        </w:tblCellMar>
      </w:tblPr>
      <w:tblGrid>
        <w:gridCol w:w="9963"/>
      </w:tblGrid>
      <w:tr>
        <w:tblPrEx>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pStyle w:val="40"/>
              <w:spacing w:line="560" w:lineRule="exact"/>
              <w:ind w:firstLine="0" w:firstLineChars="0"/>
              <w:rPr>
                <w:sz w:val="24"/>
                <w:szCs w:val="24"/>
              </w:rPr>
            </w:pPr>
            <w:r>
              <w:rPr>
                <w:sz w:val="24"/>
                <w:szCs w:val="24"/>
              </w:rPr>
              <w:t>&lt;xbrli:scenario&gt;</w:t>
            </w:r>
          </w:p>
          <w:p>
            <w:pPr>
              <w:pStyle w:val="40"/>
              <w:spacing w:line="560" w:lineRule="exact"/>
              <w:ind w:firstLine="240" w:firstLineChars="100"/>
              <w:rPr>
                <w:sz w:val="24"/>
                <w:szCs w:val="24"/>
              </w:rPr>
            </w:pPr>
            <w:r>
              <w:rPr>
                <w:sz w:val="24"/>
                <w:szCs w:val="24"/>
              </w:rPr>
              <w:t>&lt;xbrldi:typedMember dimension="con:</w:t>
            </w:r>
            <w:r>
              <w:t xml:space="preserve"> </w:t>
            </w:r>
            <w:r>
              <w:rPr>
                <w:sz w:val="24"/>
                <w:szCs w:val="24"/>
              </w:rPr>
              <w:t>NumberOfConfirmationLineNumberAxis "&gt;</w:t>
            </w:r>
          </w:p>
          <w:p>
            <w:pPr>
              <w:pStyle w:val="40"/>
              <w:spacing w:line="560" w:lineRule="exact"/>
              <w:ind w:firstLine="480"/>
              <w:rPr>
                <w:sz w:val="24"/>
                <w:szCs w:val="24"/>
              </w:rPr>
            </w:pPr>
            <w:r>
              <w:rPr>
                <w:sz w:val="24"/>
                <w:szCs w:val="24"/>
              </w:rPr>
              <w:t xml:space="preserve">&lt;con:LineNumber&gt;3031100045 &lt;/con:LineNumber&gt;      </w:t>
            </w:r>
          </w:p>
          <w:p>
            <w:pPr>
              <w:pStyle w:val="40"/>
              <w:spacing w:line="560" w:lineRule="exact"/>
              <w:ind w:firstLine="240" w:firstLineChars="100"/>
              <w:rPr>
                <w:sz w:val="24"/>
                <w:szCs w:val="24"/>
              </w:rPr>
            </w:pPr>
            <w:r>
              <w:rPr>
                <w:sz w:val="24"/>
                <w:szCs w:val="24"/>
              </w:rPr>
              <w:t>&lt;/xbrldi:typedMember&gt;</w:t>
            </w:r>
          </w:p>
          <w:p>
            <w:pPr>
              <w:pStyle w:val="40"/>
              <w:spacing w:line="560" w:lineRule="exact"/>
              <w:ind w:firstLine="0" w:firstLineChars="0"/>
              <w:rPr>
                <w:sz w:val="24"/>
                <w:szCs w:val="24"/>
              </w:rPr>
            </w:pPr>
            <w:r>
              <w:rPr>
                <w:sz w:val="24"/>
                <w:szCs w:val="24"/>
              </w:rPr>
              <w:t>&lt;/xbrli:scenario&gt;</w:t>
            </w:r>
          </w:p>
        </w:tc>
      </w:tr>
    </w:tbl>
    <w:p>
      <w:pPr>
        <w:pStyle w:val="40"/>
        <w:wordWrap/>
        <w:spacing w:after="0" w:line="560" w:lineRule="exact"/>
        <w:ind w:firstLine="0" w:firstLineChars="0"/>
        <w:jc w:val="center"/>
        <w:rPr>
          <w:b/>
          <w:sz w:val="24"/>
          <w:szCs w:val="24"/>
        </w:rPr>
      </w:pPr>
      <w:r>
        <w:rPr>
          <w:rFonts w:hint="eastAsia"/>
          <w:b/>
          <w:sz w:val="24"/>
          <w:szCs w:val="24"/>
        </w:rPr>
        <w:t>图</w:t>
      </w:r>
      <w:r>
        <w:rPr>
          <w:b/>
          <w:sz w:val="24"/>
          <w:szCs w:val="24"/>
        </w:rPr>
        <w:t>6</w:t>
      </w:r>
      <w:r>
        <w:rPr>
          <w:rFonts w:hint="eastAsia"/>
          <w:b/>
          <w:sz w:val="24"/>
          <w:szCs w:val="24"/>
        </w:rPr>
        <w:t>：数字函证类型化维度示例</w:t>
      </w:r>
    </w:p>
    <w:p>
      <w:pPr>
        <w:pStyle w:val="38"/>
        <w:wordWrap/>
        <w:spacing w:line="560" w:lineRule="exact"/>
        <w:rPr>
          <w:rFonts w:ascii="Times New Roman" w:hAnsi="Times New Roman"/>
        </w:rPr>
      </w:pPr>
      <w:r>
        <w:rPr>
          <w:rFonts w:hint="eastAsia" w:ascii="Times New Roman" w:hAnsi="Times New Roman"/>
        </w:rPr>
        <w:t>（五</w:t>
      </w:r>
      <w:r>
        <w:rPr>
          <w:rFonts w:ascii="Times New Roman" w:hAnsi="Times New Roman"/>
        </w:rPr>
        <w:t>）</w:t>
      </w:r>
      <w:r>
        <w:rPr>
          <w:rFonts w:hint="eastAsia" w:ascii="Times New Roman" w:hAnsi="Times New Roman"/>
        </w:rPr>
        <w:t>单位和精确度</w:t>
      </w:r>
    </w:p>
    <w:p>
      <w:pPr>
        <w:pStyle w:val="40"/>
        <w:wordWrap/>
        <w:spacing w:after="0" w:line="560" w:lineRule="exact"/>
      </w:pPr>
      <w:r>
        <w:rPr>
          <w:rFonts w:hint="eastAsia"/>
          <w:lang w:val="en-GB"/>
        </w:rPr>
        <w:t>单位</w:t>
      </w:r>
      <w:r>
        <w:rPr>
          <w:lang w:val="en-GB"/>
        </w:rPr>
        <w:t>是用来说明数值型数据（非字符串及转义文本）的度量单位，最常见的度量单位就是货币型的单位，例如人民币、美元等。数值型数据的事实值应通过</w:t>
      </w:r>
      <w:r>
        <w:rPr>
          <w:rFonts w:hint="eastAsia"/>
          <w:lang w:val="en-GB"/>
        </w:rPr>
        <w:t>单位指向（</w:t>
      </w:r>
      <w:r>
        <w:rPr>
          <w:lang w:val="en-GB"/>
        </w:rPr>
        <w:t>unitRef</w:t>
      </w:r>
      <w:r>
        <w:rPr>
          <w:rFonts w:hint="eastAsia"/>
          <w:lang w:val="en-GB"/>
        </w:rPr>
        <w:t>）</w:t>
      </w:r>
      <w:r>
        <w:rPr>
          <w:lang w:val="en-GB"/>
        </w:rPr>
        <w:t>属性</w:t>
      </w:r>
      <w:r>
        <w:rPr>
          <w:rFonts w:hint="eastAsia"/>
          <w:lang w:val="en-GB"/>
        </w:rPr>
        <w:t>将定义</w:t>
      </w:r>
      <w:r>
        <w:rPr>
          <w:lang w:val="en-GB"/>
        </w:rPr>
        <w:t>的单位ID（</w:t>
      </w:r>
      <w:r>
        <w:rPr>
          <w:rFonts w:hint="eastAsia"/>
          <w:lang w:val="en-GB"/>
        </w:rPr>
        <w:t>u</w:t>
      </w:r>
      <w:r>
        <w:rPr>
          <w:lang w:val="en-GB"/>
        </w:rPr>
        <w:t>nit ID）指向一个预定的单位；对事实值单位的定义同时也指明了事实值的含义，如为货币型元素赋值时，通过单位的定义能够明确金额所代表的币种。</w:t>
      </w:r>
      <w:r>
        <w:rPr>
          <w:rFonts w:hint="eastAsia"/>
        </w:rPr>
        <w:t>函证数据标准中涉及了各类账户余额的单位定义，表</w:t>
      </w:r>
      <w:r>
        <w:t>9展示了</w:t>
      </w:r>
      <w:r>
        <w:rPr>
          <w:rFonts w:hint="eastAsia"/>
        </w:rPr>
        <w:t>金额型元素常用的</w:t>
      </w:r>
      <w:r>
        <w:t>单位定义。</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t>9</w:t>
      </w:r>
      <w:r>
        <w:rPr>
          <w:rFonts w:hint="eastAsia"/>
          <w:b/>
          <w:sz w:val="24"/>
          <w:szCs w:val="24"/>
        </w:rPr>
        <w:t>：实例文档常用单位定义举例</w:t>
      </w:r>
    </w:p>
    <w:tbl>
      <w:tblPr>
        <w:tblStyle w:val="15"/>
        <w:tblW w:w="9963"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498"/>
        <w:gridCol w:w="2863"/>
        <w:gridCol w:w="2303"/>
        <w:gridCol w:w="229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2498" w:type="dxa"/>
            <w:shd w:val="clear" w:color="auto" w:fill="auto"/>
            <w:vAlign w:val="center"/>
          </w:tcPr>
          <w:p>
            <w:pPr>
              <w:spacing w:after="0" w:line="240" w:lineRule="auto"/>
              <w:jc w:val="center"/>
              <w:rPr>
                <w:rFonts w:ascii="Times New Roman" w:hAnsi="Times New Roman" w:eastAsia="仿宋_GB2312"/>
                <w:b/>
                <w:color w:val="000000"/>
                <w:sz w:val="24"/>
                <w:szCs w:val="24"/>
                <w:lang w:val="en-GB"/>
              </w:rPr>
            </w:pPr>
            <w:r>
              <w:rPr>
                <w:rFonts w:hint="eastAsia" w:ascii="Times New Roman" w:hAnsi="Times New Roman" w:eastAsia="仿宋_GB2312"/>
                <w:b/>
                <w:color w:val="000000"/>
                <w:sz w:val="24"/>
                <w:szCs w:val="24"/>
                <w:lang w:val="en-GB"/>
              </w:rPr>
              <w:t>I</w:t>
            </w:r>
            <w:r>
              <w:rPr>
                <w:rFonts w:ascii="Times New Roman" w:hAnsi="Times New Roman" w:eastAsia="仿宋_GB2312"/>
                <w:b/>
                <w:color w:val="000000"/>
                <w:sz w:val="24"/>
                <w:szCs w:val="24"/>
                <w:lang w:val="en-GB"/>
              </w:rPr>
              <w:t>D</w:t>
            </w:r>
          </w:p>
        </w:tc>
        <w:tc>
          <w:tcPr>
            <w:tcW w:w="2863" w:type="dxa"/>
            <w:shd w:val="clear" w:color="auto" w:fill="auto"/>
            <w:vAlign w:val="center"/>
          </w:tcPr>
          <w:p>
            <w:pPr>
              <w:spacing w:after="0" w:line="240" w:lineRule="auto"/>
              <w:jc w:val="center"/>
              <w:rPr>
                <w:rFonts w:ascii="Times New Roman" w:hAnsi="Times New Roman" w:eastAsia="仿宋_GB2312"/>
                <w:b/>
                <w:color w:val="000000"/>
                <w:sz w:val="24"/>
                <w:szCs w:val="24"/>
                <w:lang w:val="en-GB"/>
              </w:rPr>
            </w:pPr>
            <w:r>
              <w:rPr>
                <w:rFonts w:hint="eastAsia" w:ascii="Times New Roman" w:hAnsi="Times New Roman" w:eastAsia="仿宋_GB2312"/>
                <w:b/>
                <w:color w:val="000000"/>
                <w:sz w:val="24"/>
                <w:szCs w:val="24"/>
                <w:lang w:val="en-GB"/>
              </w:rPr>
              <w:t>单位的含义</w:t>
            </w:r>
          </w:p>
        </w:tc>
        <w:tc>
          <w:tcPr>
            <w:tcW w:w="2303" w:type="dxa"/>
            <w:shd w:val="clear" w:color="auto" w:fill="auto"/>
            <w:vAlign w:val="center"/>
          </w:tcPr>
          <w:p>
            <w:pPr>
              <w:spacing w:after="0" w:line="240" w:lineRule="auto"/>
              <w:jc w:val="center"/>
              <w:rPr>
                <w:rFonts w:ascii="Times New Roman" w:hAnsi="Times New Roman" w:eastAsia="仿宋_GB2312"/>
                <w:b/>
                <w:color w:val="000000"/>
                <w:sz w:val="24"/>
                <w:szCs w:val="24"/>
                <w:lang w:val="en-GB"/>
              </w:rPr>
            </w:pPr>
            <w:r>
              <w:rPr>
                <w:rFonts w:hint="eastAsia" w:ascii="Times New Roman" w:hAnsi="Times New Roman" w:eastAsia="仿宋_GB2312"/>
                <w:b/>
                <w:color w:val="000000"/>
                <w:sz w:val="24"/>
                <w:szCs w:val="24"/>
                <w:lang w:val="en-GB"/>
              </w:rPr>
              <w:t>分子</w:t>
            </w:r>
          </w:p>
        </w:tc>
        <w:tc>
          <w:tcPr>
            <w:tcW w:w="2299" w:type="dxa"/>
            <w:shd w:val="clear" w:color="auto" w:fill="auto"/>
            <w:vAlign w:val="center"/>
          </w:tcPr>
          <w:p>
            <w:pPr>
              <w:spacing w:after="0" w:line="240" w:lineRule="auto"/>
              <w:jc w:val="center"/>
              <w:rPr>
                <w:rFonts w:ascii="Times New Roman" w:hAnsi="Times New Roman" w:eastAsia="仿宋_GB2312"/>
                <w:b/>
                <w:color w:val="000000"/>
                <w:sz w:val="24"/>
                <w:szCs w:val="24"/>
                <w:lang w:val="en-GB"/>
              </w:rPr>
            </w:pPr>
            <w:r>
              <w:rPr>
                <w:rFonts w:hint="eastAsia" w:ascii="Times New Roman" w:hAnsi="Times New Roman" w:eastAsia="仿宋_GB2312"/>
                <w:b/>
                <w:color w:val="000000"/>
                <w:sz w:val="24"/>
                <w:szCs w:val="24"/>
                <w:lang w:val="en-GB"/>
              </w:rPr>
              <w:t>分母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498" w:type="dxa"/>
            <w:vAlign w:val="center"/>
          </w:tcPr>
          <w:p>
            <w:pPr>
              <w:spacing w:after="0" w:line="240" w:lineRule="auto"/>
              <w:jc w:val="both"/>
              <w:rPr>
                <w:rFonts w:ascii="Times New Roman" w:hAnsi="Times New Roman" w:eastAsia="仿宋_GB2312"/>
                <w:color w:val="000000"/>
                <w:sz w:val="24"/>
                <w:szCs w:val="24"/>
                <w:lang w:val="en-GB"/>
              </w:rPr>
            </w:pPr>
            <w:r>
              <w:rPr>
                <w:rFonts w:ascii="Times New Roman" w:hAnsi="Times New Roman" w:eastAsia="仿宋_GB2312"/>
                <w:color w:val="000000"/>
                <w:sz w:val="24"/>
                <w:szCs w:val="24"/>
                <w:lang w:val="en-GB"/>
              </w:rPr>
              <w:t>CNY</w:t>
            </w:r>
          </w:p>
        </w:tc>
        <w:tc>
          <w:tcPr>
            <w:tcW w:w="2863" w:type="dxa"/>
            <w:vAlign w:val="center"/>
          </w:tcPr>
          <w:p>
            <w:pPr>
              <w:spacing w:after="0" w:line="240" w:lineRule="auto"/>
              <w:jc w:val="both"/>
              <w:rPr>
                <w:rFonts w:ascii="Times New Roman" w:hAnsi="Times New Roman" w:eastAsia="仿宋_GB2312"/>
                <w:color w:val="000000"/>
                <w:sz w:val="24"/>
                <w:szCs w:val="24"/>
                <w:lang w:val="en-GB"/>
              </w:rPr>
            </w:pPr>
            <w:r>
              <w:rPr>
                <w:rFonts w:hint="eastAsia" w:ascii="Times New Roman" w:hAnsi="Times New Roman" w:eastAsia="仿宋_GB2312"/>
                <w:color w:val="000000"/>
                <w:sz w:val="24"/>
                <w:szCs w:val="24"/>
                <w:lang w:val="en-GB"/>
              </w:rPr>
              <w:t>人民币</w:t>
            </w:r>
          </w:p>
        </w:tc>
        <w:tc>
          <w:tcPr>
            <w:tcW w:w="2303" w:type="dxa"/>
            <w:vAlign w:val="center"/>
          </w:tcPr>
          <w:p>
            <w:pPr>
              <w:spacing w:after="0" w:line="240" w:lineRule="auto"/>
              <w:jc w:val="both"/>
              <w:rPr>
                <w:rFonts w:ascii="Times New Roman" w:hAnsi="Times New Roman" w:eastAsia="仿宋_GB2312"/>
                <w:color w:val="000000"/>
                <w:sz w:val="24"/>
                <w:szCs w:val="24"/>
                <w:lang w:val="en-GB"/>
              </w:rPr>
            </w:pPr>
            <w:r>
              <w:rPr>
                <w:rFonts w:ascii="Times New Roman" w:hAnsi="Times New Roman" w:eastAsia="仿宋_GB2312"/>
                <w:color w:val="000000"/>
                <w:sz w:val="24"/>
                <w:szCs w:val="24"/>
                <w:lang w:val="en-GB"/>
              </w:rPr>
              <w:t>iso4217:CNY</w:t>
            </w:r>
          </w:p>
        </w:tc>
        <w:tc>
          <w:tcPr>
            <w:tcW w:w="2299" w:type="dxa"/>
            <w:vAlign w:val="center"/>
          </w:tcPr>
          <w:p>
            <w:pPr>
              <w:spacing w:after="0" w:line="240" w:lineRule="auto"/>
              <w:jc w:val="both"/>
              <w:rPr>
                <w:rFonts w:ascii="Times New Roman" w:hAnsi="Times New Roman" w:eastAsia="仿宋_GB2312"/>
                <w:color w:val="000000"/>
                <w:sz w:val="24"/>
                <w:szCs w:val="24"/>
                <w:lang w:val="en-GB"/>
              </w:rPr>
            </w:pPr>
            <w:r>
              <w:rPr>
                <w:rFonts w:hint="eastAsia" w:ascii="Times New Roman" w:hAnsi="Times New Roman" w:eastAsia="仿宋_GB2312"/>
                <w:color w:val="000000"/>
                <w:sz w:val="24"/>
                <w:szCs w:val="24"/>
                <w:lang w:val="en-GB"/>
              </w:rPr>
              <w:t>不适用</w:t>
            </w:r>
          </w:p>
        </w:tc>
      </w:tr>
    </w:tbl>
    <w:p>
      <w:pPr>
        <w:pStyle w:val="40"/>
        <w:wordWrap/>
        <w:spacing w:after="0" w:line="560" w:lineRule="exact"/>
      </w:pPr>
      <w:r>
        <w:rPr>
          <w:rFonts w:hint="eastAsia"/>
        </w:rPr>
        <w:t>在根标签中，使用&lt;xbrli:unit&gt;标签预定义计量单位，单位的定义方式如下图所示：</w:t>
      </w:r>
    </w:p>
    <w:p>
      <w:pPr>
        <w:pStyle w:val="40"/>
        <w:wordWrap/>
        <w:spacing w:after="0" w:line="560" w:lineRule="exact"/>
      </w:pPr>
    </w:p>
    <w:tbl>
      <w:tblPr>
        <w:tblStyle w:val="15"/>
        <w:tblW w:w="9963" w:type="dxa"/>
        <w:tblInd w:w="0" w:type="dxa"/>
        <w:shd w:val="clear" w:color="auto" w:fill="F1F1F1" w:themeFill="background1" w:themeFillShade="F2"/>
        <w:tblLayout w:type="fixed"/>
        <w:tblCellMar>
          <w:top w:w="0" w:type="dxa"/>
          <w:left w:w="108" w:type="dxa"/>
          <w:bottom w:w="0" w:type="dxa"/>
          <w:right w:w="108" w:type="dxa"/>
        </w:tblCellMar>
      </w:tblPr>
      <w:tblGrid>
        <w:gridCol w:w="9963"/>
      </w:tblGrid>
      <w:tr>
        <w:tblPrEx>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pStyle w:val="40"/>
              <w:spacing w:line="560" w:lineRule="exact"/>
              <w:ind w:firstLine="0" w:firstLineChars="0"/>
              <w:rPr>
                <w:sz w:val="24"/>
                <w:szCs w:val="24"/>
              </w:rPr>
            </w:pPr>
            <w:r>
              <w:rPr>
                <w:sz w:val="24"/>
                <w:szCs w:val="24"/>
              </w:rPr>
              <w:t>&lt;xbrli:unit id="CNY"&gt;</w:t>
            </w:r>
          </w:p>
          <w:p>
            <w:pPr>
              <w:pStyle w:val="40"/>
              <w:spacing w:line="560" w:lineRule="exact"/>
              <w:ind w:firstLine="480"/>
              <w:rPr>
                <w:sz w:val="24"/>
                <w:szCs w:val="24"/>
              </w:rPr>
            </w:pPr>
            <w:r>
              <w:rPr>
                <w:sz w:val="24"/>
                <w:szCs w:val="24"/>
              </w:rPr>
              <w:t>&lt;xbrli:measure&gt;iso4217:CNY&lt;/xbrli:measure&gt;</w:t>
            </w:r>
          </w:p>
          <w:p>
            <w:pPr>
              <w:pStyle w:val="40"/>
              <w:spacing w:line="560" w:lineRule="exact"/>
              <w:ind w:firstLine="0" w:firstLineChars="0"/>
              <w:rPr>
                <w:sz w:val="24"/>
                <w:szCs w:val="24"/>
              </w:rPr>
            </w:pPr>
            <w:r>
              <w:rPr>
                <w:sz w:val="24"/>
                <w:szCs w:val="24"/>
              </w:rPr>
              <w:t>&lt;/xbrli:unit&gt;</w:t>
            </w:r>
          </w:p>
        </w:tc>
      </w:tr>
    </w:tbl>
    <w:p>
      <w:pPr>
        <w:pStyle w:val="40"/>
        <w:wordWrap/>
        <w:spacing w:after="0" w:line="560" w:lineRule="exact"/>
        <w:ind w:firstLine="0" w:firstLineChars="0"/>
        <w:jc w:val="center"/>
        <w:rPr>
          <w:b/>
          <w:sz w:val="24"/>
          <w:szCs w:val="24"/>
        </w:rPr>
      </w:pPr>
      <w:r>
        <w:rPr>
          <w:rFonts w:hint="eastAsia"/>
          <w:b/>
          <w:sz w:val="24"/>
          <w:szCs w:val="24"/>
        </w:rPr>
        <w:t>图</w:t>
      </w:r>
      <w:r>
        <w:rPr>
          <w:b/>
          <w:sz w:val="24"/>
          <w:szCs w:val="24"/>
        </w:rPr>
        <w:t>7</w:t>
      </w:r>
      <w:r>
        <w:rPr>
          <w:rFonts w:hint="eastAsia"/>
          <w:b/>
          <w:sz w:val="24"/>
          <w:szCs w:val="24"/>
        </w:rPr>
        <w:t>：单位信息标记示例</w:t>
      </w:r>
    </w:p>
    <w:p>
      <w:pPr>
        <w:pStyle w:val="40"/>
        <w:wordWrap/>
        <w:spacing w:after="0" w:line="560" w:lineRule="exact"/>
        <w:rPr>
          <w:szCs w:val="28"/>
        </w:rPr>
      </w:pPr>
      <w:r>
        <w:rPr>
          <w:rFonts w:hint="eastAsia"/>
        </w:rPr>
        <w:t>XBRL通过事实值的precision（精确度）或decimal（小数点后位数）属性提供了表达数值型数据精确度的方式，一般使用decimal属性比采用precision属性能够更直观地展示数据的精度。</w:t>
      </w:r>
      <w:r>
        <w:rPr>
          <w:rFonts w:hint="eastAsia"/>
          <w:szCs w:val="28"/>
        </w:rPr>
        <w:t>表</w:t>
      </w:r>
      <w:r>
        <w:rPr>
          <w:szCs w:val="28"/>
        </w:rPr>
        <w:t>10</w:t>
      </w:r>
      <w:r>
        <w:rPr>
          <w:rFonts w:hint="eastAsia"/>
          <w:szCs w:val="28"/>
        </w:rPr>
        <w:t>列示了</w:t>
      </w:r>
      <w:r>
        <w:rPr>
          <w:szCs w:val="28"/>
        </w:rPr>
        <w:t>数值型数据使用decimal属性的例子</w:t>
      </w:r>
      <w:r>
        <w:rPr>
          <w:rFonts w:hint="eastAsia"/>
          <w:szCs w:val="28"/>
        </w:rPr>
        <w:t>。</w:t>
      </w:r>
    </w:p>
    <w:p>
      <w:pPr>
        <w:pStyle w:val="40"/>
        <w:wordWrap/>
        <w:spacing w:after="0" w:line="560" w:lineRule="exact"/>
        <w:ind w:firstLine="0" w:firstLineChars="0"/>
        <w:jc w:val="center"/>
        <w:rPr>
          <w:b/>
          <w:sz w:val="24"/>
          <w:szCs w:val="24"/>
        </w:rPr>
      </w:pPr>
      <w:r>
        <w:rPr>
          <w:rFonts w:hint="eastAsia"/>
          <w:b/>
          <w:sz w:val="24"/>
          <w:szCs w:val="24"/>
        </w:rPr>
        <w:t xml:space="preserve">表 </w:t>
      </w:r>
      <w:r>
        <w:rPr>
          <w:b/>
          <w:sz w:val="24"/>
          <w:szCs w:val="24"/>
        </w:rPr>
        <w:t>10</w:t>
      </w:r>
      <w:r>
        <w:rPr>
          <w:rFonts w:hint="eastAsia"/>
          <w:b/>
          <w:sz w:val="24"/>
          <w:szCs w:val="24"/>
        </w:rPr>
        <w:t>：数值型事实值的精确度举例</w:t>
      </w:r>
    </w:p>
    <w:tbl>
      <w:tblPr>
        <w:tblStyle w:val="15"/>
        <w:tblW w:w="996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3320"/>
        <w:gridCol w:w="33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321" w:type="dxa"/>
            <w:vAlign w:val="center"/>
          </w:tcPr>
          <w:p>
            <w:pPr>
              <w:spacing w:after="0" w:line="5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数值</w:t>
            </w:r>
          </w:p>
        </w:tc>
        <w:tc>
          <w:tcPr>
            <w:tcW w:w="3320" w:type="dxa"/>
            <w:vAlign w:val="center"/>
          </w:tcPr>
          <w:p>
            <w:pPr>
              <w:spacing w:after="0" w:line="560" w:lineRule="exact"/>
              <w:jc w:val="center"/>
              <w:rPr>
                <w:rFonts w:ascii="Times New Roman" w:hAnsi="Times New Roman" w:eastAsia="仿宋_GB2312"/>
                <w:b/>
                <w:sz w:val="24"/>
                <w:szCs w:val="24"/>
              </w:rPr>
            </w:pPr>
            <w:r>
              <w:rPr>
                <w:rFonts w:ascii="Times New Roman" w:hAnsi="Times New Roman" w:eastAsia="仿宋_GB2312"/>
                <w:b/>
                <w:sz w:val="24"/>
                <w:szCs w:val="24"/>
              </w:rPr>
              <w:t>Decimal</w:t>
            </w:r>
            <w:r>
              <w:rPr>
                <w:rFonts w:hint="eastAsia" w:ascii="Times New Roman" w:hAnsi="Times New Roman" w:eastAsia="仿宋_GB2312"/>
                <w:b/>
                <w:sz w:val="24"/>
                <w:szCs w:val="24"/>
              </w:rPr>
              <w:t>取值</w:t>
            </w:r>
          </w:p>
        </w:tc>
        <w:tc>
          <w:tcPr>
            <w:tcW w:w="3322" w:type="dxa"/>
            <w:vAlign w:val="center"/>
          </w:tcPr>
          <w:p>
            <w:pPr>
              <w:spacing w:after="0" w:line="5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示例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321" w:type="dxa"/>
            <w:vAlign w:val="center"/>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精确到千位</w:t>
            </w:r>
          </w:p>
        </w:tc>
        <w:tc>
          <w:tcPr>
            <w:tcW w:w="3320" w:type="dxa"/>
            <w:vAlign w:val="center"/>
          </w:tcPr>
          <w:p>
            <w:pPr>
              <w:spacing w:after="0" w:line="560" w:lineRule="exact"/>
              <w:jc w:val="both"/>
              <w:rPr>
                <w:rFonts w:ascii="Times New Roman" w:hAnsi="Times New Roman" w:eastAsia="仿宋_GB2312"/>
                <w:sz w:val="24"/>
                <w:szCs w:val="24"/>
              </w:rPr>
            </w:pPr>
            <w:r>
              <w:rPr>
                <w:rFonts w:ascii="Times New Roman" w:hAnsi="Times New Roman" w:eastAsia="仿宋_GB2312"/>
                <w:sz w:val="24"/>
                <w:szCs w:val="24"/>
              </w:rPr>
              <w:t>-3</w:t>
            </w:r>
          </w:p>
        </w:tc>
        <w:tc>
          <w:tcPr>
            <w:tcW w:w="3322" w:type="dxa"/>
            <w:vAlign w:val="center"/>
          </w:tcPr>
          <w:p>
            <w:pPr>
              <w:spacing w:after="0" w:line="560" w:lineRule="exact"/>
              <w:ind w:right="519" w:rightChars="236"/>
              <w:jc w:val="both"/>
              <w:rPr>
                <w:rFonts w:ascii="Times New Roman" w:hAnsi="Times New Roman" w:eastAsia="仿宋_GB2312"/>
                <w:sz w:val="24"/>
                <w:szCs w:val="24"/>
              </w:rPr>
            </w:pPr>
            <w:r>
              <w:rPr>
                <w:rFonts w:ascii="Times New Roman" w:hAnsi="Times New Roman" w:eastAsia="仿宋_GB2312"/>
                <w:sz w:val="24"/>
                <w:szCs w:val="24"/>
              </w:rPr>
              <w:t>12 000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321" w:type="dxa"/>
            <w:vAlign w:val="center"/>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精确到百万位</w:t>
            </w:r>
          </w:p>
        </w:tc>
        <w:tc>
          <w:tcPr>
            <w:tcW w:w="3320" w:type="dxa"/>
            <w:vAlign w:val="center"/>
          </w:tcPr>
          <w:p>
            <w:pPr>
              <w:spacing w:after="0" w:line="560" w:lineRule="exact"/>
              <w:jc w:val="both"/>
              <w:rPr>
                <w:rFonts w:ascii="Times New Roman" w:hAnsi="Times New Roman" w:eastAsia="仿宋_GB2312"/>
                <w:sz w:val="24"/>
                <w:szCs w:val="24"/>
              </w:rPr>
            </w:pPr>
            <w:r>
              <w:rPr>
                <w:rFonts w:ascii="Times New Roman" w:hAnsi="Times New Roman" w:eastAsia="仿宋_GB2312"/>
                <w:sz w:val="24"/>
                <w:szCs w:val="24"/>
              </w:rPr>
              <w:t>-6</w:t>
            </w:r>
          </w:p>
        </w:tc>
        <w:tc>
          <w:tcPr>
            <w:tcW w:w="3322" w:type="dxa"/>
            <w:vAlign w:val="center"/>
          </w:tcPr>
          <w:p>
            <w:pPr>
              <w:spacing w:after="0" w:line="560" w:lineRule="exact"/>
              <w:ind w:right="519" w:rightChars="236"/>
              <w:jc w:val="both"/>
              <w:rPr>
                <w:rFonts w:ascii="Times New Roman" w:hAnsi="Times New Roman" w:eastAsia="仿宋_GB2312"/>
                <w:sz w:val="24"/>
                <w:szCs w:val="24"/>
              </w:rPr>
            </w:pPr>
            <w:r>
              <w:rPr>
                <w:rFonts w:ascii="Times New Roman" w:hAnsi="Times New Roman" w:eastAsia="仿宋_GB2312"/>
                <w:sz w:val="24"/>
                <w:szCs w:val="24"/>
              </w:rPr>
              <w:t>45 000 000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321" w:type="dxa"/>
            <w:vAlign w:val="center"/>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精确到</w:t>
            </w:r>
            <w:r>
              <w:rPr>
                <w:rFonts w:ascii="Times New Roman" w:hAnsi="Times New Roman" w:eastAsia="仿宋_GB2312"/>
                <w:sz w:val="24"/>
                <w:szCs w:val="24"/>
              </w:rPr>
              <w:t>2</w:t>
            </w:r>
            <w:r>
              <w:rPr>
                <w:rFonts w:hint="eastAsia" w:ascii="Times New Roman" w:hAnsi="Times New Roman" w:eastAsia="仿宋_GB2312"/>
                <w:sz w:val="24"/>
                <w:szCs w:val="24"/>
              </w:rPr>
              <w:t>位小数</w:t>
            </w:r>
          </w:p>
        </w:tc>
        <w:tc>
          <w:tcPr>
            <w:tcW w:w="3320" w:type="dxa"/>
            <w:vAlign w:val="center"/>
          </w:tcPr>
          <w:p>
            <w:pPr>
              <w:spacing w:after="0" w:line="560" w:lineRule="exact"/>
              <w:jc w:val="both"/>
              <w:rPr>
                <w:rFonts w:ascii="Times New Roman" w:hAnsi="Times New Roman" w:eastAsia="仿宋_GB2312"/>
                <w:sz w:val="24"/>
                <w:szCs w:val="24"/>
              </w:rPr>
            </w:pPr>
            <w:r>
              <w:rPr>
                <w:rFonts w:ascii="Times New Roman" w:hAnsi="Times New Roman" w:eastAsia="仿宋_GB2312"/>
                <w:sz w:val="24"/>
                <w:szCs w:val="24"/>
              </w:rPr>
              <w:t>2</w:t>
            </w:r>
          </w:p>
        </w:tc>
        <w:tc>
          <w:tcPr>
            <w:tcW w:w="3322" w:type="dxa"/>
            <w:vAlign w:val="center"/>
          </w:tcPr>
          <w:p>
            <w:pPr>
              <w:spacing w:after="0" w:line="560" w:lineRule="exact"/>
              <w:ind w:right="519" w:rightChars="236"/>
              <w:jc w:val="both"/>
              <w:rPr>
                <w:rFonts w:ascii="Times New Roman" w:hAnsi="Times New Roman" w:eastAsia="仿宋_GB2312"/>
                <w:sz w:val="24"/>
                <w:szCs w:val="24"/>
              </w:rPr>
            </w:pPr>
            <w:r>
              <w:rPr>
                <w:rFonts w:ascii="Times New Roman" w:hAnsi="Times New Roman" w:eastAsia="仿宋_GB2312"/>
                <w:sz w:val="24"/>
                <w:szCs w:val="24"/>
              </w:rPr>
              <w:t>139 034.17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321" w:type="dxa"/>
            <w:vAlign w:val="center"/>
          </w:tcPr>
          <w:p>
            <w:pPr>
              <w:spacing w:after="0" w:line="560" w:lineRule="exact"/>
              <w:jc w:val="both"/>
              <w:rPr>
                <w:rFonts w:ascii="Times New Roman" w:hAnsi="Times New Roman" w:eastAsia="仿宋_GB2312"/>
                <w:sz w:val="24"/>
                <w:szCs w:val="24"/>
              </w:rPr>
            </w:pPr>
            <w:r>
              <w:rPr>
                <w:rFonts w:hint="eastAsia" w:ascii="Times New Roman" w:hAnsi="Times New Roman" w:eastAsia="仿宋_GB2312"/>
                <w:sz w:val="24"/>
                <w:szCs w:val="24"/>
              </w:rPr>
              <w:t>精确数字</w:t>
            </w:r>
          </w:p>
        </w:tc>
        <w:tc>
          <w:tcPr>
            <w:tcW w:w="3320" w:type="dxa"/>
            <w:vAlign w:val="center"/>
          </w:tcPr>
          <w:p>
            <w:pPr>
              <w:spacing w:after="0" w:line="560" w:lineRule="exact"/>
              <w:jc w:val="both"/>
              <w:rPr>
                <w:rFonts w:ascii="Times New Roman" w:hAnsi="Times New Roman" w:eastAsia="仿宋_GB2312"/>
                <w:sz w:val="24"/>
                <w:szCs w:val="24"/>
              </w:rPr>
            </w:pPr>
            <w:r>
              <w:rPr>
                <w:rFonts w:ascii="Times New Roman" w:hAnsi="Times New Roman" w:eastAsia="仿宋_GB2312"/>
                <w:sz w:val="24"/>
                <w:szCs w:val="24"/>
              </w:rPr>
              <w:t>INF</w:t>
            </w:r>
          </w:p>
        </w:tc>
        <w:tc>
          <w:tcPr>
            <w:tcW w:w="3322" w:type="dxa"/>
            <w:vAlign w:val="center"/>
          </w:tcPr>
          <w:p>
            <w:pPr>
              <w:spacing w:after="0" w:line="560" w:lineRule="exact"/>
              <w:ind w:right="519" w:rightChars="236"/>
              <w:jc w:val="both"/>
              <w:rPr>
                <w:rFonts w:ascii="Times New Roman" w:hAnsi="Times New Roman" w:eastAsia="仿宋_GB2312"/>
                <w:sz w:val="24"/>
                <w:szCs w:val="24"/>
              </w:rPr>
            </w:pPr>
            <w:r>
              <w:rPr>
                <w:rFonts w:ascii="Times New Roman" w:hAnsi="Times New Roman" w:eastAsia="仿宋_GB2312"/>
                <w:sz w:val="24"/>
                <w:szCs w:val="24"/>
              </w:rPr>
              <w:t>1.2645</w:t>
            </w:r>
          </w:p>
        </w:tc>
      </w:tr>
    </w:tbl>
    <w:p>
      <w:pPr>
        <w:spacing w:before="120" w:after="0" w:line="560" w:lineRule="exact"/>
        <w:rPr>
          <w:rFonts w:ascii="Times New Roman" w:hAnsi="Times New Roman" w:eastAsia="华文中宋" w:cs="Times New Roman"/>
          <w:sz w:val="32"/>
          <w:szCs w:val="32"/>
        </w:rPr>
        <w:sectPr>
          <w:footerReference r:id="rId3" w:type="default"/>
          <w:pgSz w:w="11907" w:h="16839"/>
          <w:pgMar w:top="1440" w:right="1080" w:bottom="1440" w:left="1080" w:header="283" w:footer="283" w:gutter="0"/>
          <w:cols w:space="720" w:num="1"/>
          <w:docGrid w:linePitch="360" w:charSpace="0"/>
        </w:sectPr>
      </w:pPr>
    </w:p>
    <w:p>
      <w:pPr>
        <w:spacing w:before="120" w:after="0" w:line="560" w:lineRule="exact"/>
        <w:rPr>
          <w:rFonts w:ascii="Times New Roman" w:hAnsi="Times New Roman" w:eastAsia="华文中宋" w:cs="Times New Roman"/>
          <w:sz w:val="32"/>
          <w:szCs w:val="32"/>
        </w:rPr>
      </w:pPr>
      <w:r>
        <w:rPr>
          <w:rFonts w:ascii="Times New Roman" w:hAnsi="Times New Roman" w:eastAsia="华文中宋" w:cs="Times New Roman"/>
          <w:sz w:val="32"/>
          <w:szCs w:val="32"/>
        </w:rPr>
        <w:t>附录</w:t>
      </w:r>
      <w:r>
        <w:rPr>
          <w:rFonts w:hint="eastAsia" w:ascii="Times New Roman" w:hAnsi="Times New Roman" w:eastAsia="华文中宋" w:cs="Times New Roman"/>
          <w:sz w:val="32"/>
          <w:szCs w:val="32"/>
        </w:rPr>
        <w:t>1</w:t>
      </w:r>
      <w:r>
        <w:rPr>
          <w:rFonts w:ascii="Times New Roman" w:hAnsi="Times New Roman" w:eastAsia="华文中宋" w:cs="Times New Roman"/>
          <w:sz w:val="32"/>
          <w:szCs w:val="32"/>
        </w:rPr>
        <w:t>：</w:t>
      </w:r>
    </w:p>
    <w:p>
      <w:pPr>
        <w:spacing w:after="0" w:line="560" w:lineRule="exact"/>
        <w:jc w:val="center"/>
        <w:outlineLvl w:val="0"/>
        <w:rPr>
          <w:rFonts w:ascii="Times New Roman" w:hAnsi="Times New Roman" w:eastAsia="黑体" w:cs="Arial"/>
          <w:sz w:val="44"/>
          <w:szCs w:val="44"/>
        </w:rPr>
      </w:pPr>
      <w:r>
        <w:rPr>
          <w:rFonts w:hint="eastAsia" w:ascii="Times New Roman" w:hAnsi="Times New Roman" w:eastAsia="黑体" w:cs="Arial"/>
          <w:sz w:val="44"/>
          <w:szCs w:val="44"/>
        </w:rPr>
        <w:t>函证数据标准术语表</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1．</w:t>
      </w:r>
      <w:r>
        <w:rPr>
          <w:rFonts w:ascii="Times New Roman" w:hAnsi="Times New Roman" w:eastAsia="仿宋_GB2312"/>
          <w:b/>
          <w:sz w:val="28"/>
          <w:szCs w:val="28"/>
        </w:rPr>
        <w:t>可扩展商业报告语言</w:t>
      </w:r>
      <w:r>
        <w:rPr>
          <w:rFonts w:hint="eastAsia" w:ascii="Times New Roman" w:hAnsi="Times New Roman" w:eastAsia="仿宋_GB2312"/>
          <w:b/>
          <w:sz w:val="28"/>
          <w:szCs w:val="28"/>
        </w:rPr>
        <w:t>（</w:t>
      </w:r>
      <w:r>
        <w:rPr>
          <w:rFonts w:ascii="Times New Roman" w:hAnsi="Times New Roman" w:eastAsia="仿宋_GB2312"/>
          <w:b/>
          <w:sz w:val="28"/>
          <w:szCs w:val="28"/>
        </w:rPr>
        <w:t>Extensible Business Reporting Language</w:t>
      </w:r>
      <w:r>
        <w:rPr>
          <w:rFonts w:hint="eastAsia" w:ascii="Times New Roman" w:hAnsi="Times New Roman" w:eastAsia="仿宋_GB2312"/>
          <w:b/>
          <w:sz w:val="28"/>
          <w:szCs w:val="28"/>
        </w:rPr>
        <w:t>，</w:t>
      </w:r>
      <w:r>
        <w:rPr>
          <w:rFonts w:ascii="Times New Roman" w:hAnsi="Times New Roman" w:eastAsia="仿宋_GB2312"/>
          <w:b/>
          <w:sz w:val="28"/>
          <w:szCs w:val="28"/>
        </w:rPr>
        <w:t>XBRL</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一种基于可扩展标记语言（</w:t>
      </w:r>
      <w:r>
        <w:rPr>
          <w:rFonts w:ascii="Times New Roman" w:hAnsi="Times New Roman" w:eastAsia="仿宋_GB2312"/>
          <w:sz w:val="28"/>
          <w:szCs w:val="28"/>
        </w:rPr>
        <w:t>Extensible Markup Language，XML）的开放性业务报告技术标准。参见GB/T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2．</w:t>
      </w:r>
      <w:r>
        <w:rPr>
          <w:rFonts w:ascii="Times New Roman" w:hAnsi="Times New Roman" w:eastAsia="仿宋_GB2312"/>
          <w:b/>
          <w:sz w:val="28"/>
          <w:szCs w:val="28"/>
        </w:rPr>
        <w:t>分类标准</w:t>
      </w:r>
      <w:r>
        <w:rPr>
          <w:rFonts w:hint="eastAsia" w:ascii="Times New Roman" w:hAnsi="Times New Roman" w:eastAsia="仿宋_GB2312"/>
          <w:b/>
          <w:sz w:val="28"/>
          <w:szCs w:val="28"/>
        </w:rPr>
        <w:t>（T</w:t>
      </w:r>
      <w:r>
        <w:rPr>
          <w:rFonts w:ascii="Times New Roman" w:hAnsi="Times New Roman" w:eastAsia="仿宋_GB2312"/>
          <w:b/>
          <w:sz w:val="28"/>
          <w:szCs w:val="28"/>
        </w:rPr>
        <w:t>axonomy</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XML模式文件和XBRL链接库的组合。参见GB/T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3．</w:t>
      </w:r>
      <w:r>
        <w:rPr>
          <w:rFonts w:ascii="Times New Roman" w:hAnsi="Times New Roman" w:eastAsia="仿宋_GB2312"/>
          <w:b/>
          <w:sz w:val="28"/>
          <w:szCs w:val="28"/>
        </w:rPr>
        <w:t>分类标准模式</w:t>
      </w:r>
      <w:r>
        <w:rPr>
          <w:rFonts w:hint="eastAsia" w:ascii="Times New Roman" w:hAnsi="Times New Roman" w:eastAsia="仿宋_GB2312"/>
          <w:b/>
          <w:sz w:val="28"/>
          <w:szCs w:val="28"/>
        </w:rPr>
        <w:t>（T</w:t>
      </w:r>
      <w:r>
        <w:rPr>
          <w:rFonts w:ascii="Times New Roman" w:hAnsi="Times New Roman" w:eastAsia="仿宋_GB2312"/>
          <w:b/>
          <w:sz w:val="28"/>
          <w:szCs w:val="28"/>
        </w:rPr>
        <w:t xml:space="preserve">axonomy </w:t>
      </w:r>
      <w:r>
        <w:rPr>
          <w:rFonts w:hint="eastAsia" w:ascii="Times New Roman" w:hAnsi="Times New Roman" w:eastAsia="仿宋_GB2312"/>
          <w:b/>
          <w:sz w:val="28"/>
          <w:szCs w:val="28"/>
        </w:rPr>
        <w:t>S</w:t>
      </w:r>
      <w:r>
        <w:rPr>
          <w:rFonts w:ascii="Times New Roman" w:hAnsi="Times New Roman" w:eastAsia="仿宋_GB2312"/>
          <w:b/>
          <w:sz w:val="28"/>
          <w:szCs w:val="28"/>
        </w:rPr>
        <w:t>chema</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定义</w:t>
      </w:r>
      <w:r>
        <w:rPr>
          <w:rFonts w:ascii="Times New Roman" w:hAnsi="Times New Roman" w:eastAsia="仿宋_GB2312"/>
          <w:sz w:val="28"/>
          <w:szCs w:val="28"/>
        </w:rPr>
        <w:t>XBRL概念语法的XML模式文件。参见GB/T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4</w:t>
      </w:r>
      <w:r>
        <w:rPr>
          <w:rFonts w:hint="eastAsia" w:ascii="Times New Roman" w:hAnsi="Times New Roman" w:eastAsia="仿宋_GB2312"/>
          <w:b/>
          <w:sz w:val="28"/>
          <w:szCs w:val="28"/>
        </w:rPr>
        <w:t>．</w:t>
      </w:r>
      <w:r>
        <w:rPr>
          <w:rFonts w:ascii="Times New Roman" w:hAnsi="Times New Roman" w:eastAsia="仿宋_GB2312"/>
          <w:b/>
          <w:sz w:val="28"/>
          <w:szCs w:val="28"/>
        </w:rPr>
        <w:t>可发现分类标准集</w:t>
      </w:r>
      <w:r>
        <w:rPr>
          <w:rFonts w:hint="eastAsia" w:ascii="Times New Roman" w:hAnsi="Times New Roman" w:eastAsia="仿宋_GB2312"/>
          <w:b/>
          <w:sz w:val="28"/>
          <w:szCs w:val="28"/>
        </w:rPr>
        <w:t>（</w:t>
      </w:r>
      <w:r>
        <w:rPr>
          <w:rFonts w:ascii="Times New Roman" w:hAnsi="Times New Roman" w:eastAsia="仿宋_GB2312"/>
          <w:b/>
          <w:sz w:val="28"/>
          <w:szCs w:val="28"/>
        </w:rPr>
        <w:t>Discoverable Taxonomy Set</w:t>
      </w:r>
      <w:r>
        <w:rPr>
          <w:rFonts w:hint="eastAsia" w:ascii="Times New Roman" w:hAnsi="Times New Roman" w:eastAsia="仿宋_GB2312"/>
          <w:b/>
          <w:sz w:val="28"/>
          <w:szCs w:val="28"/>
        </w:rPr>
        <w:t>，</w:t>
      </w:r>
      <w:r>
        <w:rPr>
          <w:rFonts w:ascii="Times New Roman" w:hAnsi="Times New Roman" w:eastAsia="仿宋_GB2312"/>
          <w:b/>
          <w:sz w:val="28"/>
          <w:szCs w:val="28"/>
        </w:rPr>
        <w:t>DTS</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通过引用形成的一组分类标准模式和链接库的集合。参见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5</w:t>
      </w:r>
      <w:r>
        <w:rPr>
          <w:rFonts w:hint="eastAsia" w:ascii="Times New Roman" w:hAnsi="Times New Roman" w:eastAsia="仿宋_GB2312"/>
          <w:b/>
          <w:sz w:val="28"/>
          <w:szCs w:val="28"/>
        </w:rPr>
        <w:t>．</w:t>
      </w:r>
      <w:r>
        <w:rPr>
          <w:rFonts w:ascii="Times New Roman" w:hAnsi="Times New Roman" w:eastAsia="仿宋_GB2312"/>
          <w:b/>
          <w:sz w:val="28"/>
          <w:szCs w:val="28"/>
        </w:rPr>
        <w:t>扩展</w:t>
      </w:r>
      <w:r>
        <w:rPr>
          <w:rFonts w:hint="eastAsia" w:ascii="Times New Roman" w:hAnsi="Times New Roman" w:eastAsia="仿宋_GB2312"/>
          <w:b/>
          <w:sz w:val="28"/>
          <w:szCs w:val="28"/>
        </w:rPr>
        <w:t>链接</w:t>
      </w:r>
      <w:r>
        <w:rPr>
          <w:rFonts w:ascii="Times New Roman" w:hAnsi="Times New Roman" w:eastAsia="仿宋_GB2312"/>
          <w:b/>
          <w:sz w:val="28"/>
          <w:szCs w:val="28"/>
        </w:rPr>
        <w:t>角色</w:t>
      </w:r>
      <w:r>
        <w:rPr>
          <w:rFonts w:hint="eastAsia" w:ascii="Times New Roman" w:hAnsi="Times New Roman" w:eastAsia="仿宋_GB2312"/>
          <w:b/>
          <w:sz w:val="28"/>
          <w:szCs w:val="28"/>
        </w:rPr>
        <w:t>（</w:t>
      </w:r>
      <w:r>
        <w:rPr>
          <w:rFonts w:ascii="Times New Roman" w:hAnsi="Times New Roman" w:eastAsia="仿宋_GB2312"/>
          <w:b/>
          <w:sz w:val="28"/>
          <w:szCs w:val="28"/>
        </w:rPr>
        <w:t>Extended Link Role</w:t>
      </w:r>
      <w:r>
        <w:rPr>
          <w:rFonts w:hint="eastAsia" w:ascii="Times New Roman" w:hAnsi="Times New Roman" w:eastAsia="仿宋_GB2312"/>
          <w:b/>
          <w:sz w:val="28"/>
          <w:szCs w:val="28"/>
        </w:rPr>
        <w:t>，</w:t>
      </w:r>
      <w:r>
        <w:rPr>
          <w:rFonts w:ascii="Times New Roman" w:hAnsi="Times New Roman" w:eastAsia="仿宋_GB2312"/>
          <w:b/>
          <w:sz w:val="28"/>
          <w:szCs w:val="28"/>
        </w:rPr>
        <w:t>ELR</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扩展链接角色是一组可被视为一个整体进行处理的银行询证项目信息关系的标识符</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6</w:t>
      </w:r>
      <w:r>
        <w:rPr>
          <w:rFonts w:hint="eastAsia" w:ascii="Times New Roman" w:hAnsi="Times New Roman" w:eastAsia="仿宋_GB2312"/>
          <w:b/>
          <w:sz w:val="28"/>
          <w:szCs w:val="28"/>
        </w:rPr>
        <w:t>．</w:t>
      </w:r>
      <w:r>
        <w:rPr>
          <w:rFonts w:ascii="Times New Roman" w:hAnsi="Times New Roman" w:eastAsia="仿宋_GB2312"/>
          <w:b/>
          <w:sz w:val="28"/>
          <w:szCs w:val="28"/>
        </w:rPr>
        <w:t>相对路径</w:t>
      </w:r>
      <w:r>
        <w:rPr>
          <w:rFonts w:hint="eastAsia" w:ascii="Times New Roman" w:hAnsi="Times New Roman" w:eastAsia="仿宋_GB2312"/>
          <w:b/>
          <w:sz w:val="28"/>
          <w:szCs w:val="28"/>
        </w:rPr>
        <w:t>（R</w:t>
      </w:r>
      <w:r>
        <w:rPr>
          <w:rFonts w:ascii="Times New Roman" w:hAnsi="Times New Roman" w:eastAsia="仿宋_GB2312"/>
          <w:b/>
          <w:sz w:val="28"/>
          <w:szCs w:val="28"/>
        </w:rPr>
        <w:t xml:space="preserve">elative </w:t>
      </w:r>
      <w:r>
        <w:rPr>
          <w:rFonts w:hint="eastAsia" w:ascii="Times New Roman" w:hAnsi="Times New Roman" w:eastAsia="仿宋_GB2312"/>
          <w:b/>
          <w:sz w:val="28"/>
          <w:szCs w:val="28"/>
        </w:rPr>
        <w:t>P</w:t>
      </w:r>
      <w:r>
        <w:rPr>
          <w:rFonts w:ascii="Times New Roman" w:hAnsi="Times New Roman" w:eastAsia="仿宋_GB2312"/>
          <w:b/>
          <w:sz w:val="28"/>
          <w:szCs w:val="28"/>
        </w:rPr>
        <w:t>aths</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相对路径以函证数据标准所在目录为当前目录。</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7．</w:t>
      </w:r>
      <w:r>
        <w:rPr>
          <w:rFonts w:ascii="Times New Roman" w:hAnsi="Times New Roman" w:eastAsia="仿宋_GB2312"/>
          <w:b/>
          <w:sz w:val="28"/>
          <w:szCs w:val="28"/>
        </w:rPr>
        <w:t>命名空间</w:t>
      </w:r>
      <w:r>
        <w:rPr>
          <w:rFonts w:hint="eastAsia" w:ascii="Times New Roman" w:hAnsi="Times New Roman" w:eastAsia="仿宋_GB2312"/>
          <w:b/>
          <w:sz w:val="28"/>
          <w:szCs w:val="28"/>
        </w:rPr>
        <w:t>（N</w:t>
      </w:r>
      <w:r>
        <w:rPr>
          <w:rFonts w:ascii="Times New Roman" w:hAnsi="Times New Roman" w:eastAsia="仿宋_GB2312"/>
          <w:b/>
          <w:sz w:val="28"/>
          <w:szCs w:val="28"/>
        </w:rPr>
        <w:t>amespace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命名空间限定了数据标准元素的定义区间。</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8．</w:t>
      </w:r>
      <w:r>
        <w:rPr>
          <w:rFonts w:ascii="Times New Roman" w:hAnsi="Times New Roman" w:eastAsia="仿宋_GB2312"/>
          <w:b/>
          <w:sz w:val="28"/>
          <w:szCs w:val="28"/>
        </w:rPr>
        <w:t>事实</w:t>
      </w:r>
      <w:r>
        <w:rPr>
          <w:rFonts w:hint="eastAsia" w:ascii="Times New Roman" w:hAnsi="Times New Roman" w:eastAsia="仿宋_GB2312"/>
          <w:b/>
          <w:sz w:val="28"/>
          <w:szCs w:val="28"/>
        </w:rPr>
        <w:t>值（F</w:t>
      </w:r>
      <w:r>
        <w:rPr>
          <w:rFonts w:ascii="Times New Roman" w:hAnsi="Times New Roman" w:eastAsia="仿宋_GB2312"/>
          <w:b/>
          <w:sz w:val="28"/>
          <w:szCs w:val="28"/>
        </w:rPr>
        <w:t>act</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函证数据标准所描述的银行询证函的具体内容</w:t>
      </w:r>
      <w:r>
        <w:rPr>
          <w:rFonts w:ascii="Times New Roman" w:hAnsi="Times New Roman" w:eastAsia="仿宋_GB2312"/>
          <w:sz w:val="28"/>
          <w:szCs w:val="28"/>
        </w:rPr>
        <w:t>。</w:t>
      </w:r>
      <w:r>
        <w:rPr>
          <w:rFonts w:hint="eastAsia" w:ascii="Times New Roman" w:hAnsi="Times New Roman" w:eastAsia="仿宋_GB2312"/>
          <w:sz w:val="28"/>
          <w:szCs w:val="28"/>
        </w:rPr>
        <w:t>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9</w:t>
      </w:r>
      <w:r>
        <w:rPr>
          <w:rFonts w:hint="eastAsia" w:ascii="Times New Roman" w:hAnsi="Times New Roman" w:eastAsia="仿宋_GB2312"/>
          <w:b/>
          <w:sz w:val="28"/>
          <w:szCs w:val="28"/>
        </w:rPr>
        <w:t>．</w:t>
      </w:r>
      <w:r>
        <w:rPr>
          <w:rFonts w:ascii="Times New Roman" w:hAnsi="Times New Roman" w:eastAsia="仿宋_GB2312"/>
          <w:b/>
          <w:sz w:val="28"/>
          <w:szCs w:val="28"/>
        </w:rPr>
        <w:t>元素</w:t>
      </w:r>
      <w:r>
        <w:rPr>
          <w:rFonts w:hint="eastAsia" w:ascii="Times New Roman" w:hAnsi="Times New Roman" w:eastAsia="仿宋_GB2312"/>
          <w:b/>
          <w:sz w:val="28"/>
          <w:szCs w:val="28"/>
        </w:rPr>
        <w:t>（E</w:t>
      </w:r>
      <w:r>
        <w:rPr>
          <w:rFonts w:ascii="Times New Roman" w:hAnsi="Times New Roman" w:eastAsia="仿宋_GB2312"/>
          <w:b/>
          <w:sz w:val="28"/>
          <w:szCs w:val="28"/>
        </w:rPr>
        <w:t>lement</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XML 模式文件中定义的XML元素。参见GB/T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10</w:t>
      </w:r>
      <w:r>
        <w:rPr>
          <w:rFonts w:hint="eastAsia" w:ascii="Times New Roman" w:hAnsi="Times New Roman" w:eastAsia="仿宋_GB2312"/>
          <w:b/>
          <w:sz w:val="28"/>
          <w:szCs w:val="28"/>
        </w:rPr>
        <w:t>．</w:t>
      </w:r>
      <w:r>
        <w:rPr>
          <w:rFonts w:ascii="Times New Roman" w:hAnsi="Times New Roman" w:eastAsia="仿宋_GB2312"/>
          <w:b/>
          <w:sz w:val="28"/>
          <w:szCs w:val="28"/>
        </w:rPr>
        <w:t>抽象元素</w:t>
      </w:r>
      <w:r>
        <w:rPr>
          <w:rFonts w:hint="eastAsia" w:ascii="Times New Roman" w:hAnsi="Times New Roman" w:eastAsia="仿宋_GB2312"/>
          <w:b/>
          <w:sz w:val="28"/>
          <w:szCs w:val="28"/>
        </w:rPr>
        <w:t>（A</w:t>
      </w:r>
      <w:r>
        <w:rPr>
          <w:rFonts w:ascii="Times New Roman" w:hAnsi="Times New Roman" w:eastAsia="仿宋_GB2312"/>
          <w:b/>
          <w:sz w:val="28"/>
          <w:szCs w:val="28"/>
        </w:rPr>
        <w:t xml:space="preserve">bstract </w:t>
      </w:r>
      <w:r>
        <w:rPr>
          <w:rFonts w:hint="eastAsia" w:ascii="Times New Roman" w:hAnsi="Times New Roman" w:eastAsia="仿宋_GB2312"/>
          <w:b/>
          <w:sz w:val="28"/>
          <w:szCs w:val="28"/>
        </w:rPr>
        <w:t>E</w:t>
      </w:r>
      <w:r>
        <w:rPr>
          <w:rFonts w:ascii="Times New Roman" w:hAnsi="Times New Roman" w:eastAsia="仿宋_GB2312"/>
          <w:b/>
          <w:sz w:val="28"/>
          <w:szCs w:val="28"/>
        </w:rPr>
        <w:t>lement</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对应银行询证函在逻辑上没有具体值、不能在</w:t>
      </w:r>
      <w:r>
        <w:rPr>
          <w:rFonts w:ascii="Times New Roman" w:hAnsi="Times New Roman" w:eastAsia="仿宋_GB2312"/>
          <w:sz w:val="28"/>
          <w:szCs w:val="28"/>
        </w:rPr>
        <w:t>XBRL实例中出现的元素，其abstract属性值为true。</w:t>
      </w:r>
      <w:r>
        <w:rPr>
          <w:rFonts w:hint="eastAsia" w:ascii="Times New Roman" w:hAnsi="Times New Roman" w:eastAsia="仿宋_GB2312"/>
          <w:sz w:val="28"/>
          <w:szCs w:val="28"/>
        </w:rPr>
        <w:t>列报链接库可利用抽象元素对概念进行分组展示。参见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11</w:t>
      </w:r>
      <w:r>
        <w:rPr>
          <w:rFonts w:hint="eastAsia" w:ascii="Times New Roman" w:hAnsi="Times New Roman" w:eastAsia="仿宋_GB2312"/>
          <w:b/>
          <w:sz w:val="28"/>
          <w:szCs w:val="28"/>
        </w:rPr>
        <w:t>．</w:t>
      </w:r>
      <w:r>
        <w:rPr>
          <w:rFonts w:ascii="Times New Roman" w:hAnsi="Times New Roman" w:eastAsia="仿宋_GB2312"/>
          <w:b/>
          <w:sz w:val="28"/>
          <w:szCs w:val="28"/>
        </w:rPr>
        <w:t>链接库</w:t>
      </w:r>
      <w:r>
        <w:rPr>
          <w:rFonts w:hint="eastAsia" w:ascii="Times New Roman" w:hAnsi="Times New Roman" w:eastAsia="仿宋_GB2312"/>
          <w:b/>
          <w:sz w:val="28"/>
          <w:szCs w:val="28"/>
        </w:rPr>
        <w:t>（L</w:t>
      </w:r>
      <w:r>
        <w:rPr>
          <w:rFonts w:ascii="Times New Roman" w:hAnsi="Times New Roman" w:eastAsia="仿宋_GB2312"/>
          <w:b/>
          <w:sz w:val="28"/>
          <w:szCs w:val="28"/>
        </w:rPr>
        <w:t>inkbase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若干个用于描述数据标准中概念的语义的</w:t>
      </w:r>
      <w:r>
        <w:rPr>
          <w:rFonts w:ascii="Times New Roman" w:hAnsi="Times New Roman" w:eastAsia="仿宋_GB2312"/>
          <w:sz w:val="28"/>
          <w:szCs w:val="28"/>
        </w:rPr>
        <w:t>XLink扩展链接的集合。参见GB/T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12．</w:t>
      </w:r>
      <w:r>
        <w:rPr>
          <w:rFonts w:ascii="Times New Roman" w:hAnsi="Times New Roman" w:eastAsia="仿宋_GB2312"/>
          <w:b/>
          <w:sz w:val="28"/>
          <w:szCs w:val="28"/>
        </w:rPr>
        <w:t>列报链接库</w:t>
      </w:r>
      <w:r>
        <w:rPr>
          <w:rFonts w:hint="eastAsia" w:ascii="Times New Roman" w:hAnsi="Times New Roman" w:eastAsia="仿宋_GB2312"/>
          <w:b/>
          <w:sz w:val="28"/>
          <w:szCs w:val="28"/>
        </w:rPr>
        <w:t>（P</w:t>
      </w:r>
      <w:r>
        <w:rPr>
          <w:rFonts w:ascii="Times New Roman" w:hAnsi="Times New Roman" w:eastAsia="仿宋_GB2312"/>
          <w:b/>
          <w:sz w:val="28"/>
          <w:szCs w:val="28"/>
        </w:rPr>
        <w:t xml:space="preserve">resentation </w:t>
      </w:r>
      <w:r>
        <w:rPr>
          <w:rFonts w:hint="eastAsia" w:ascii="Times New Roman" w:hAnsi="Times New Roman" w:eastAsia="仿宋_GB2312"/>
          <w:b/>
          <w:sz w:val="28"/>
          <w:szCs w:val="28"/>
        </w:rPr>
        <w:t>L</w:t>
      </w:r>
      <w:r>
        <w:rPr>
          <w:rFonts w:ascii="Times New Roman" w:hAnsi="Times New Roman" w:eastAsia="仿宋_GB2312"/>
          <w:b/>
          <w:sz w:val="28"/>
          <w:szCs w:val="28"/>
        </w:rPr>
        <w:t>inkbase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列报链接库用于组织函证数据标准元素之间的层次关系并为之排序。参见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w:t>
      </w:r>
      <w:r>
        <w:rPr>
          <w:rFonts w:hint="eastAsia" w:ascii="Times New Roman" w:hAnsi="Times New Roman" w:eastAsia="仿宋_GB2312"/>
          <w:b/>
          <w:sz w:val="28"/>
          <w:szCs w:val="28"/>
        </w:rPr>
        <w:t>3．</w:t>
      </w:r>
      <w:r>
        <w:rPr>
          <w:rFonts w:ascii="Times New Roman" w:hAnsi="Times New Roman" w:eastAsia="仿宋_GB2312"/>
          <w:b/>
          <w:sz w:val="28"/>
          <w:szCs w:val="28"/>
        </w:rPr>
        <w:t>定义链接库</w:t>
      </w:r>
      <w:r>
        <w:rPr>
          <w:rFonts w:hint="eastAsia" w:ascii="Times New Roman" w:hAnsi="Times New Roman" w:eastAsia="仿宋_GB2312"/>
          <w:b/>
          <w:sz w:val="28"/>
          <w:szCs w:val="28"/>
        </w:rPr>
        <w:t>（D</w:t>
      </w:r>
      <w:r>
        <w:rPr>
          <w:rFonts w:ascii="Times New Roman" w:hAnsi="Times New Roman" w:eastAsia="仿宋_GB2312"/>
          <w:b/>
          <w:sz w:val="28"/>
          <w:szCs w:val="28"/>
        </w:rPr>
        <w:t xml:space="preserve">efinition </w:t>
      </w:r>
      <w:r>
        <w:rPr>
          <w:rFonts w:hint="eastAsia" w:ascii="Times New Roman" w:hAnsi="Times New Roman" w:eastAsia="仿宋_GB2312"/>
          <w:b/>
          <w:sz w:val="28"/>
          <w:szCs w:val="28"/>
        </w:rPr>
        <w:t>L</w:t>
      </w:r>
      <w:r>
        <w:rPr>
          <w:rFonts w:ascii="Times New Roman" w:hAnsi="Times New Roman" w:eastAsia="仿宋_GB2312"/>
          <w:b/>
          <w:sz w:val="28"/>
          <w:szCs w:val="28"/>
        </w:rPr>
        <w:t>inkbase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定义链接库包含一个概念与其他概念相关联的定义扩展链接。在函证数据标准中主要的作用是描述元素之间的维度关系。</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14</w:t>
      </w:r>
      <w:r>
        <w:rPr>
          <w:rFonts w:hint="eastAsia" w:ascii="Times New Roman" w:hAnsi="Times New Roman" w:eastAsia="仿宋_GB2312"/>
          <w:b/>
          <w:sz w:val="28"/>
          <w:szCs w:val="28"/>
        </w:rPr>
        <w:t>．</w:t>
      </w:r>
      <w:r>
        <w:rPr>
          <w:rFonts w:ascii="Times New Roman" w:hAnsi="Times New Roman" w:eastAsia="仿宋_GB2312"/>
          <w:b/>
          <w:sz w:val="28"/>
          <w:szCs w:val="28"/>
        </w:rPr>
        <w:t>标签链接库</w:t>
      </w:r>
      <w:r>
        <w:rPr>
          <w:rFonts w:hint="eastAsia" w:ascii="Times New Roman" w:hAnsi="Times New Roman" w:eastAsia="仿宋_GB2312"/>
          <w:b/>
          <w:sz w:val="28"/>
          <w:szCs w:val="28"/>
        </w:rPr>
        <w:t>（L</w:t>
      </w:r>
      <w:r>
        <w:rPr>
          <w:rFonts w:ascii="Times New Roman" w:hAnsi="Times New Roman" w:eastAsia="仿宋_GB2312"/>
          <w:b/>
          <w:sz w:val="28"/>
          <w:szCs w:val="28"/>
        </w:rPr>
        <w:t xml:space="preserve">abel </w:t>
      </w:r>
      <w:r>
        <w:rPr>
          <w:rFonts w:hint="eastAsia" w:ascii="Times New Roman" w:hAnsi="Times New Roman" w:eastAsia="仿宋_GB2312"/>
          <w:b/>
          <w:sz w:val="28"/>
          <w:szCs w:val="28"/>
        </w:rPr>
        <w:t>L</w:t>
      </w:r>
      <w:r>
        <w:rPr>
          <w:rFonts w:ascii="Times New Roman" w:hAnsi="Times New Roman" w:eastAsia="仿宋_GB2312"/>
          <w:b/>
          <w:sz w:val="28"/>
          <w:szCs w:val="28"/>
        </w:rPr>
        <w:t>inkbase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标签链接库用于给每个概念提供一个或多个可理解的名称。</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15</w:t>
      </w:r>
      <w:r>
        <w:rPr>
          <w:rFonts w:hint="eastAsia" w:ascii="Times New Roman" w:hAnsi="Times New Roman" w:eastAsia="仿宋_GB2312"/>
          <w:b/>
          <w:sz w:val="28"/>
          <w:szCs w:val="28"/>
        </w:rPr>
        <w:t>．</w:t>
      </w:r>
      <w:r>
        <w:rPr>
          <w:rFonts w:ascii="Times New Roman" w:hAnsi="Times New Roman" w:eastAsia="仿宋_GB2312"/>
          <w:b/>
          <w:sz w:val="28"/>
          <w:szCs w:val="28"/>
        </w:rPr>
        <w:t>XBRL实例</w:t>
      </w:r>
      <w:r>
        <w:rPr>
          <w:rFonts w:hint="eastAsia" w:ascii="Times New Roman" w:hAnsi="Times New Roman" w:eastAsia="仿宋_GB2312"/>
          <w:b/>
          <w:sz w:val="28"/>
          <w:szCs w:val="28"/>
        </w:rPr>
        <w:t>文档（</w:t>
      </w:r>
      <w:r>
        <w:rPr>
          <w:rFonts w:ascii="Times New Roman" w:hAnsi="Times New Roman" w:eastAsia="仿宋_GB2312"/>
          <w:b/>
          <w:sz w:val="28"/>
          <w:szCs w:val="28"/>
        </w:rPr>
        <w:t xml:space="preserve">XBRL </w:t>
      </w:r>
      <w:r>
        <w:rPr>
          <w:rFonts w:hint="eastAsia" w:ascii="Times New Roman" w:hAnsi="Times New Roman" w:eastAsia="仿宋_GB2312"/>
          <w:b/>
          <w:sz w:val="28"/>
          <w:szCs w:val="28"/>
        </w:rPr>
        <w:t>I</w:t>
      </w:r>
      <w:r>
        <w:rPr>
          <w:rFonts w:ascii="Times New Roman" w:hAnsi="Times New Roman" w:eastAsia="仿宋_GB2312"/>
          <w:b/>
          <w:sz w:val="28"/>
          <w:szCs w:val="28"/>
        </w:rPr>
        <w:t>nstance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以</w:t>
      </w:r>
      <w:r>
        <w:rPr>
          <w:rFonts w:ascii="Times New Roman" w:hAnsi="Times New Roman" w:eastAsia="仿宋_GB2312"/>
          <w:sz w:val="28"/>
          <w:szCs w:val="28"/>
        </w:rPr>
        <w:t>xbrl为根元素的XML片段。XBRL实例</w:t>
      </w:r>
      <w:r>
        <w:rPr>
          <w:rFonts w:hint="eastAsia" w:ascii="Times New Roman" w:hAnsi="Times New Roman" w:eastAsia="仿宋_GB2312"/>
          <w:sz w:val="28"/>
          <w:szCs w:val="28"/>
        </w:rPr>
        <w:t>文档中</w:t>
      </w:r>
      <w:r>
        <w:rPr>
          <w:rFonts w:ascii="Times New Roman" w:hAnsi="Times New Roman" w:eastAsia="仿宋_GB2312"/>
          <w:sz w:val="28"/>
          <w:szCs w:val="28"/>
        </w:rPr>
        <w:t>包含</w:t>
      </w:r>
      <w:r>
        <w:rPr>
          <w:rFonts w:hint="eastAsia" w:ascii="Times New Roman" w:hAnsi="Times New Roman" w:eastAsia="仿宋_GB2312"/>
          <w:sz w:val="28"/>
          <w:szCs w:val="28"/>
        </w:rPr>
        <w:t>银行询证函的</w:t>
      </w:r>
      <w:r>
        <w:rPr>
          <w:rFonts w:ascii="Times New Roman" w:hAnsi="Times New Roman" w:eastAsia="仿宋_GB2312"/>
          <w:sz w:val="28"/>
          <w:szCs w:val="28"/>
        </w:rPr>
        <w:t>事实</w:t>
      </w:r>
      <w:r>
        <w:rPr>
          <w:rFonts w:hint="eastAsia" w:ascii="Times New Roman" w:hAnsi="Times New Roman" w:eastAsia="仿宋_GB2312"/>
          <w:sz w:val="28"/>
          <w:szCs w:val="28"/>
        </w:rPr>
        <w:t>值。</w:t>
      </w:r>
      <w:r>
        <w:rPr>
          <w:rFonts w:ascii="Times New Roman" w:hAnsi="Times New Roman" w:eastAsia="仿宋_GB2312"/>
          <w:sz w:val="28"/>
          <w:szCs w:val="28"/>
        </w:rPr>
        <w:t>其中每个事实</w:t>
      </w:r>
      <w:r>
        <w:rPr>
          <w:rFonts w:hint="eastAsia" w:ascii="Times New Roman" w:hAnsi="Times New Roman" w:eastAsia="仿宋_GB2312"/>
          <w:sz w:val="28"/>
          <w:szCs w:val="28"/>
        </w:rPr>
        <w:t>值</w:t>
      </w:r>
      <w:r>
        <w:rPr>
          <w:rFonts w:ascii="Times New Roman" w:hAnsi="Times New Roman" w:eastAsia="仿宋_GB2312"/>
          <w:sz w:val="28"/>
          <w:szCs w:val="28"/>
        </w:rPr>
        <w:t>都与</w:t>
      </w:r>
      <w:r>
        <w:rPr>
          <w:rFonts w:hint="eastAsia" w:ascii="Times New Roman" w:hAnsi="Times New Roman" w:eastAsia="仿宋_GB2312"/>
          <w:sz w:val="28"/>
          <w:szCs w:val="28"/>
        </w:rPr>
        <w:t>可发现分类集（DTS）</w:t>
      </w:r>
      <w:r>
        <w:rPr>
          <w:rFonts w:ascii="Times New Roman" w:hAnsi="Times New Roman" w:eastAsia="仿宋_GB2312"/>
          <w:sz w:val="28"/>
          <w:szCs w:val="28"/>
        </w:rPr>
        <w:t>中已定义的概念相对应，也包含上下文和单位等额外信息来解释实例中的事实。XBRL实例的根元素是“xbrl”元素。</w:t>
      </w:r>
      <w:r>
        <w:rPr>
          <w:rFonts w:hint="eastAsia" w:ascii="Times New Roman" w:hAnsi="Times New Roman" w:eastAsia="仿宋_GB2312"/>
          <w:sz w:val="28"/>
          <w:szCs w:val="28"/>
        </w:rPr>
        <w:t>根据函证数据标准生成的XBRL实例文档即XBRL格式的数字化询证函。</w:t>
      </w:r>
      <w:r>
        <w:rPr>
          <w:rFonts w:ascii="Times New Roman" w:hAnsi="Times New Roman" w:eastAsia="仿宋_GB2312"/>
          <w:sz w:val="28"/>
          <w:szCs w:val="28"/>
        </w:rPr>
        <w:t>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16</w:t>
      </w:r>
      <w:r>
        <w:rPr>
          <w:rFonts w:hint="eastAsia" w:ascii="Times New Roman" w:hAnsi="Times New Roman" w:eastAsia="仿宋_GB2312"/>
          <w:b/>
          <w:sz w:val="28"/>
          <w:szCs w:val="28"/>
        </w:rPr>
        <w:t>．</w:t>
      </w:r>
      <w:r>
        <w:rPr>
          <w:rFonts w:ascii="Times New Roman" w:hAnsi="Times New Roman" w:eastAsia="仿宋_GB2312"/>
          <w:b/>
          <w:sz w:val="28"/>
          <w:szCs w:val="28"/>
        </w:rPr>
        <w:t>上下文</w:t>
      </w:r>
      <w:r>
        <w:rPr>
          <w:rFonts w:hint="eastAsia" w:ascii="Times New Roman" w:hAnsi="Times New Roman" w:eastAsia="仿宋_GB2312"/>
          <w:b/>
          <w:sz w:val="28"/>
          <w:szCs w:val="28"/>
        </w:rPr>
        <w:t>（C</w:t>
      </w:r>
      <w:r>
        <w:rPr>
          <w:rFonts w:ascii="Times New Roman" w:hAnsi="Times New Roman" w:eastAsia="仿宋_GB2312"/>
          <w:b/>
          <w:sz w:val="28"/>
          <w:szCs w:val="28"/>
        </w:rPr>
        <w:t>ontext</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XBRL实例</w:t>
      </w:r>
      <w:r>
        <w:rPr>
          <w:rFonts w:hint="eastAsia" w:ascii="Times New Roman" w:hAnsi="Times New Roman" w:eastAsia="仿宋_GB2312"/>
          <w:sz w:val="28"/>
          <w:szCs w:val="28"/>
        </w:rPr>
        <w:t>文档</w:t>
      </w:r>
      <w:r>
        <w:rPr>
          <w:rFonts w:ascii="Times New Roman" w:hAnsi="Times New Roman" w:eastAsia="仿宋_GB2312"/>
          <w:sz w:val="28"/>
          <w:szCs w:val="28"/>
        </w:rPr>
        <w:t>中根元素的子元素，用来说明实体、时期和场景。</w:t>
      </w:r>
      <w:r>
        <w:rPr>
          <w:rFonts w:hint="eastAsia" w:ascii="Times New Roman" w:hAnsi="Times New Roman" w:eastAsia="仿宋_GB2312"/>
          <w:sz w:val="28"/>
          <w:szCs w:val="28"/>
        </w:rPr>
        <w:t>上下文有助于准确地理解数据项的值。参见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17</w:t>
      </w:r>
      <w:r>
        <w:rPr>
          <w:rFonts w:hint="eastAsia" w:ascii="Times New Roman" w:hAnsi="Times New Roman" w:eastAsia="仿宋_GB2312"/>
          <w:b/>
          <w:sz w:val="28"/>
          <w:szCs w:val="28"/>
        </w:rPr>
        <w:t>．</w:t>
      </w:r>
      <w:r>
        <w:rPr>
          <w:rFonts w:ascii="Times New Roman" w:hAnsi="Times New Roman" w:eastAsia="仿宋_GB2312"/>
          <w:b/>
          <w:sz w:val="28"/>
          <w:szCs w:val="28"/>
        </w:rPr>
        <w:t>数据项</w:t>
      </w:r>
      <w:r>
        <w:rPr>
          <w:rFonts w:hint="eastAsia" w:ascii="Times New Roman" w:hAnsi="Times New Roman" w:eastAsia="仿宋_GB2312"/>
          <w:b/>
          <w:sz w:val="28"/>
          <w:szCs w:val="28"/>
        </w:rPr>
        <w:t>（I</w:t>
      </w:r>
      <w:r>
        <w:rPr>
          <w:rFonts w:ascii="Times New Roman" w:hAnsi="Times New Roman" w:eastAsia="仿宋_GB2312"/>
          <w:b/>
          <w:sz w:val="28"/>
          <w:szCs w:val="28"/>
        </w:rPr>
        <w:t>tem</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XBRL数据项替换组中的元素，包含简单事实的值、帮助理解该事实所需的上下文以及数值型数据项的单位。</w:t>
      </w:r>
      <w:r>
        <w:rPr>
          <w:rFonts w:hint="eastAsia" w:ascii="Times New Roman" w:hAnsi="Times New Roman" w:eastAsia="仿宋_GB2312"/>
          <w:sz w:val="28"/>
          <w:szCs w:val="28"/>
        </w:rPr>
        <w:t>数据项包括数值型数据项和非数值型数据项两类。对于数值型数据项，需要指出精度及度量单位。参见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18</w:t>
      </w:r>
      <w:r>
        <w:rPr>
          <w:rFonts w:hint="eastAsia" w:ascii="Times New Roman" w:hAnsi="Times New Roman" w:eastAsia="仿宋_GB2312"/>
          <w:b/>
          <w:sz w:val="28"/>
          <w:szCs w:val="28"/>
        </w:rPr>
        <w:t>．</w:t>
      </w:r>
      <w:r>
        <w:rPr>
          <w:rFonts w:ascii="Times New Roman" w:hAnsi="Times New Roman" w:eastAsia="仿宋_GB2312"/>
          <w:b/>
          <w:sz w:val="28"/>
          <w:szCs w:val="28"/>
        </w:rPr>
        <w:t>类型化维度</w:t>
      </w:r>
      <w:r>
        <w:rPr>
          <w:rFonts w:hint="eastAsia" w:ascii="Times New Roman" w:hAnsi="Times New Roman" w:eastAsia="仿宋_GB2312"/>
          <w:b/>
          <w:sz w:val="28"/>
          <w:szCs w:val="28"/>
        </w:rPr>
        <w:t>（T</w:t>
      </w:r>
      <w:r>
        <w:rPr>
          <w:rFonts w:ascii="Times New Roman" w:hAnsi="Times New Roman" w:eastAsia="仿宋_GB2312"/>
          <w:b/>
          <w:sz w:val="28"/>
          <w:szCs w:val="28"/>
        </w:rPr>
        <w:t xml:space="preserve">yped </w:t>
      </w:r>
      <w:r>
        <w:rPr>
          <w:rFonts w:hint="eastAsia" w:ascii="Times New Roman" w:hAnsi="Times New Roman" w:eastAsia="仿宋_GB2312"/>
          <w:b/>
          <w:sz w:val="28"/>
          <w:szCs w:val="28"/>
        </w:rPr>
        <w:t>D</w:t>
      </w:r>
      <w:r>
        <w:rPr>
          <w:rFonts w:ascii="Times New Roman" w:hAnsi="Times New Roman" w:eastAsia="仿宋_GB2312"/>
          <w:b/>
          <w:sz w:val="28"/>
          <w:szCs w:val="28"/>
        </w:rPr>
        <w:t>imension</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类型化维度是域成员不能逐个枚举的维度。参见</w:t>
      </w:r>
      <w:r>
        <w:rPr>
          <w:rFonts w:ascii="Times New Roman" w:hAnsi="Times New Roman" w:eastAsia="仿宋_GB2312"/>
          <w:sz w:val="28"/>
          <w:szCs w:val="28"/>
        </w:rPr>
        <w:t>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spacing w:after="0" w:line="56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19</w:t>
      </w:r>
      <w:r>
        <w:rPr>
          <w:rFonts w:hint="eastAsia" w:ascii="Times New Roman" w:hAnsi="Times New Roman" w:eastAsia="仿宋_GB2312"/>
          <w:b/>
          <w:sz w:val="28"/>
          <w:szCs w:val="28"/>
        </w:rPr>
        <w:t>．</w:t>
      </w:r>
      <w:r>
        <w:rPr>
          <w:rFonts w:ascii="Times New Roman" w:hAnsi="Times New Roman" w:eastAsia="仿宋_GB2312"/>
          <w:b/>
          <w:sz w:val="28"/>
          <w:szCs w:val="28"/>
        </w:rPr>
        <w:t>超立方体</w:t>
      </w:r>
      <w:r>
        <w:rPr>
          <w:rFonts w:hint="eastAsia" w:ascii="Times New Roman" w:hAnsi="Times New Roman" w:eastAsia="仿宋_GB2312"/>
          <w:b/>
          <w:sz w:val="28"/>
          <w:szCs w:val="28"/>
        </w:rPr>
        <w:t>（H</w:t>
      </w:r>
      <w:r>
        <w:rPr>
          <w:rFonts w:ascii="Times New Roman" w:hAnsi="Times New Roman" w:eastAsia="仿宋_GB2312"/>
          <w:b/>
          <w:sz w:val="28"/>
          <w:szCs w:val="28"/>
        </w:rPr>
        <w:t>ypercube</w:t>
      </w:r>
      <w:r>
        <w:rPr>
          <w:rFonts w:hint="eastAsia" w:ascii="Times New Roman" w:hAnsi="Times New Roman" w:eastAsia="仿宋_GB2312"/>
          <w:b/>
          <w:sz w:val="28"/>
          <w:szCs w:val="28"/>
        </w:rPr>
        <w:t>）</w:t>
      </w:r>
    </w:p>
    <w:p>
      <w:pPr>
        <w:spacing w:after="0"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超立方体是一个维度的集合，是参与到</w:t>
      </w:r>
      <w:r>
        <w:rPr>
          <w:rFonts w:ascii="Times New Roman" w:hAnsi="Times New Roman" w:eastAsia="仿宋_GB2312"/>
          <w:sz w:val="28"/>
          <w:szCs w:val="28"/>
        </w:rPr>
        <w:t>has-hypercube关系和hypercube-dimension关系中的hypercubeItem替换组中的抽象元素。参见GB/T</w:t>
      </w:r>
      <w:r>
        <w:rPr>
          <w:rFonts w:hint="eastAsia" w:ascii="Times New Roman" w:hAnsi="Times New Roman" w:eastAsia="仿宋_GB2312"/>
          <w:sz w:val="28"/>
          <w:szCs w:val="28"/>
        </w:rPr>
        <w:t>25500-2010</w:t>
      </w:r>
      <w:r>
        <w:rPr>
          <w:rFonts w:ascii="Times New Roman" w:hAnsi="Times New Roman" w:eastAsia="仿宋_GB2312"/>
          <w:sz w:val="28"/>
          <w:szCs w:val="28"/>
        </w:rPr>
        <w:t>《可扩展商业报告语言（XBRL）技术规范》</w:t>
      </w:r>
      <w:r>
        <w:rPr>
          <w:rFonts w:hint="eastAsia" w:ascii="Times New Roman" w:hAnsi="Times New Roman" w:eastAsia="仿宋_GB2312"/>
          <w:sz w:val="28"/>
          <w:szCs w:val="28"/>
        </w:rPr>
        <w:t>系列国家标准</w:t>
      </w:r>
      <w:r>
        <w:rPr>
          <w:rFonts w:ascii="Times New Roman" w:hAnsi="Times New Roman" w:eastAsia="仿宋_GB2312"/>
          <w:sz w:val="28"/>
          <w:szCs w:val="28"/>
        </w:rPr>
        <w:t>。</w:t>
      </w:r>
    </w:p>
    <w:p>
      <w:pPr>
        <w:rPr>
          <w:rFonts w:ascii="Times New Roman" w:hAnsi="Times New Roman" w:eastAsia="仿宋_GB2312"/>
          <w:sz w:val="28"/>
          <w:szCs w:val="28"/>
        </w:rPr>
        <w:sectPr>
          <w:pgSz w:w="11907" w:h="16839"/>
          <w:pgMar w:top="1440" w:right="1080" w:bottom="1440" w:left="1080" w:header="283" w:footer="283" w:gutter="0"/>
          <w:cols w:space="720" w:num="1"/>
          <w:docGrid w:linePitch="360" w:charSpace="0"/>
        </w:sectPr>
      </w:pPr>
    </w:p>
    <w:p>
      <w:pPr>
        <w:spacing w:before="120" w:after="0" w:line="560" w:lineRule="exact"/>
        <w:rPr>
          <w:rFonts w:ascii="Times New Roman" w:hAnsi="Times New Roman" w:eastAsia="华文中宋" w:cs="Times New Roman"/>
          <w:sz w:val="32"/>
          <w:szCs w:val="32"/>
        </w:rPr>
      </w:pPr>
      <w:r>
        <w:rPr>
          <w:rFonts w:ascii="Times New Roman" w:hAnsi="Times New Roman" w:eastAsia="华文中宋" w:cs="Times New Roman"/>
          <w:sz w:val="32"/>
          <w:szCs w:val="32"/>
        </w:rPr>
        <w:t>附录</w:t>
      </w:r>
      <w:r>
        <w:rPr>
          <w:rFonts w:hint="eastAsia" w:ascii="Times New Roman" w:hAnsi="Times New Roman" w:eastAsia="华文中宋" w:cs="Times New Roman"/>
          <w:sz w:val="32"/>
          <w:szCs w:val="32"/>
        </w:rPr>
        <w:t>2</w:t>
      </w:r>
      <w:r>
        <w:rPr>
          <w:rFonts w:ascii="Times New Roman" w:hAnsi="Times New Roman" w:eastAsia="华文中宋" w:cs="Times New Roman"/>
          <w:sz w:val="32"/>
          <w:szCs w:val="32"/>
        </w:rPr>
        <w:t>：</w:t>
      </w:r>
    </w:p>
    <w:p>
      <w:pPr>
        <w:spacing w:after="360" w:afterLines="150" w:line="560" w:lineRule="exact"/>
        <w:jc w:val="center"/>
        <w:outlineLvl w:val="0"/>
        <w:rPr>
          <w:rFonts w:ascii="Times New Roman" w:hAnsi="Times New Roman" w:eastAsia="华文中宋" w:cs="Arial"/>
          <w:b/>
          <w:sz w:val="44"/>
          <w:szCs w:val="44"/>
        </w:rPr>
      </w:pPr>
      <w:r>
        <w:rPr>
          <w:rFonts w:hint="eastAsia" w:ascii="Times New Roman" w:hAnsi="Times New Roman" w:eastAsia="华文中宋" w:cs="Arial"/>
          <w:b/>
          <w:sz w:val="44"/>
          <w:szCs w:val="44"/>
        </w:rPr>
        <w:t>应用银行审计数字函证实例文档操作指引</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数字化函证将运用XBRL技术，推动会计师事务所和银行业金融机构建立标准化集中化的函证处理机制，在可信安全环境下统一处理函证业务。会计师事务所在发起函证申请时，提交XBRL格式的银行询证函实例文档（以下简称实例文档）至第三方数字化函证平台，实例文档以结构化的方式记录了银行询证函全部数据信息。被审计单位通过平台确认函证请求后，由银行下载实例文档，完成回函信息后再次提交至第三方平台。整个函证流程在可信安全环境下运行，需满足可追溯、不可篡改的要求，确保函证的可靠性和安全性。结合银行函证在实务中的业务流程，可参考下图所示步骤开展数字化函证工作：</w:t>
      </w:r>
    </w:p>
    <w:p>
      <w:pPr>
        <w:spacing w:after="0" w:line="360" w:lineRule="auto"/>
        <w:ind w:firstLine="440" w:firstLineChars="200"/>
        <w:rPr>
          <w:rFonts w:ascii="Times New Roman" w:hAnsi="Times New Roman" w:eastAsia="仿宋_GB2312"/>
          <w:sz w:val="28"/>
          <w:szCs w:val="28"/>
        </w:rPr>
      </w:pPr>
      <w:r>
        <w:drawing>
          <wp:inline distT="0" distB="0" distL="0" distR="0">
            <wp:extent cx="6189345" cy="3127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189345" cy="3127375"/>
                    </a:xfrm>
                    <a:prstGeom prst="rect">
                      <a:avLst/>
                    </a:prstGeom>
                  </pic:spPr>
                </pic:pic>
              </a:graphicData>
            </a:graphic>
          </wp:inline>
        </w:drawing>
      </w:r>
    </w:p>
    <w:p>
      <w:pPr>
        <w:pStyle w:val="40"/>
        <w:wordWrap/>
        <w:spacing w:after="0"/>
        <w:ind w:firstLine="0" w:firstLineChars="0"/>
        <w:jc w:val="center"/>
        <w:rPr>
          <w:b/>
          <w:sz w:val="24"/>
          <w:szCs w:val="24"/>
        </w:rPr>
      </w:pPr>
      <w:r>
        <w:rPr>
          <w:rFonts w:hint="eastAsia"/>
          <w:b/>
          <w:sz w:val="24"/>
          <w:szCs w:val="24"/>
        </w:rPr>
        <w:t>图1：银行询证函实例文档实施步骤</w:t>
      </w:r>
    </w:p>
    <w:p>
      <w:pPr>
        <w:pStyle w:val="37"/>
        <w:rPr>
          <w:lang w:val="en-GB"/>
        </w:rPr>
      </w:pPr>
      <w:r>
        <w:rPr>
          <w:rFonts w:hint="eastAsia"/>
        </w:rPr>
        <w:t>一、</w:t>
      </w:r>
      <w:r>
        <w:rPr>
          <w:rFonts w:hint="eastAsia"/>
          <w:lang w:val="en-GB"/>
        </w:rPr>
        <w:t>会计师事务所提交函证请求</w:t>
      </w:r>
    </w:p>
    <w:p>
      <w:pPr>
        <w:pStyle w:val="38"/>
      </w:pPr>
      <w:r>
        <w:rPr>
          <w:rFonts w:hint="eastAsia"/>
        </w:rPr>
        <w:t>（一）生成实例文档</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注册会计师通过事务所函证系统集中发起函证请求，根据函证模板信息自动生成包含需函证银行账户信息的XBRL格式的实例文档。实例文档需按照本指南规定进行数据组装，并通过API接口从事务所函证系统上传至第三方数字化函证平台。</w:t>
      </w:r>
    </w:p>
    <w:p>
      <w:pPr>
        <w:pStyle w:val="38"/>
      </w:pPr>
      <w:r>
        <w:rPr>
          <w:rFonts w:hint="eastAsia"/>
        </w:rPr>
        <w:t>（二）</w:t>
      </w:r>
      <w:r>
        <w:t>签章保护</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银行询证函</w:t>
      </w:r>
      <w:r>
        <w:rPr>
          <w:rFonts w:ascii="Times New Roman" w:hAnsi="Times New Roman" w:eastAsia="仿宋_GB2312"/>
          <w:sz w:val="28"/>
          <w:szCs w:val="28"/>
        </w:rPr>
        <w:t>有两种防篡改方式，分别是</w:t>
      </w:r>
      <w:r>
        <w:rPr>
          <w:rFonts w:hint="eastAsia" w:ascii="Times New Roman" w:hAnsi="Times New Roman" w:eastAsia="仿宋_GB2312"/>
          <w:sz w:val="28"/>
          <w:szCs w:val="28"/>
        </w:rPr>
        <w:t>电子签章和数字签名。实例文档应使用电子签章或数字签名技术以防止信息被篡改，提交到第三方平台后经过数据标准化校验和签章验证后对已提交的实例文档进行加密。</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如使用电子签章，应符合GB/T 38540-2020《信息安全技术 安全电子签章密码技术规范》中的要求。电子签章可以通过章可视化自动验证文档数据是否被篡改，如已篡改章可以设置消失、置黑、画叉等。电子签章数据中包含了签章人证书、制章人证书和签章人证书列表三种证书，在进行签章后会在签章数据中保存文档的最后一次摘要，可以在验章时用来核验文档是否被篡改，签章数据中的证书可以保证签章的有效性。 </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如使用数字签名，则银行询证函签署后的数字签名数据应符合GB/T 35275-2017《信息安全技术 SM2密码算法加密签名消息语法规范》中的相关要求。数字签名数据中包含了一个签名证书，会在签名数据中保存对文档的最后一次摘要，可以在验签时判断文档是否被篡改，签名证书可以保证签名的有效性。</w:t>
      </w:r>
    </w:p>
    <w:p>
      <w:pPr>
        <w:pStyle w:val="37"/>
      </w:pPr>
      <w:r>
        <w:rPr>
          <w:rFonts w:hint="eastAsia"/>
        </w:rPr>
        <w:t>二、被审计单位确认函证请求</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被审计单位可通过第三方数字化函证平台或网银登录查找会计师事务所推送的实例文档信息，核对会计师事务所签章和银行询证函信息后，若内容无误则确认函证请求，并加盖被审计单位签章。</w:t>
      </w:r>
    </w:p>
    <w:p>
      <w:pPr>
        <w:pStyle w:val="37"/>
      </w:pPr>
      <w:r>
        <w:rPr>
          <w:rFonts w:hint="eastAsia"/>
        </w:rPr>
        <w:t>三、被询证银行接收请求、下载并解析数字询证函</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银行通过API接口从第三方数字化函证平台接收函证请求，经平台验证被审计单位和会计师事务所签章后，下载XBRL格式的银行函证实例文档。</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XBRL标准作为财政部指定的企业会计准则电子数据标准，主流财务软件厂商应均已具备解析能力。银行可通过第三方数字化函证平台下载实例文档并进行解析，自动生成银行询证函的业务（对象）数据。</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对应函证数据标准和实例文档的解析，可以参考“三、实例文档要素及解析方式说明”。需要注意的地方包括：</w:t>
      </w:r>
    </w:p>
    <w:p>
      <w:pPr>
        <w:pStyle w:val="38"/>
      </w:pPr>
      <w:r>
        <w:rPr>
          <w:rFonts w:hint="eastAsia" w:cs="Times New Roman"/>
        </w:rPr>
        <w:t>（一）</w:t>
      </w:r>
      <w:r>
        <w:rPr>
          <w:rFonts w:hint="eastAsia"/>
        </w:rPr>
        <w:t>实例文档解码</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获取的实例文档是*</w:t>
      </w:r>
      <w:r>
        <w:rPr>
          <w:rFonts w:ascii="Times New Roman" w:hAnsi="Times New Roman" w:eastAsia="仿宋_GB2312"/>
          <w:sz w:val="28"/>
          <w:szCs w:val="28"/>
        </w:rPr>
        <w:t>.</w:t>
      </w:r>
      <w:r>
        <w:rPr>
          <w:rFonts w:hint="eastAsia" w:ascii="Times New Roman" w:hAnsi="Times New Roman" w:eastAsia="仿宋_GB2312"/>
          <w:sz w:val="28"/>
          <w:szCs w:val="28"/>
        </w:rPr>
        <w:t>xml文件类型，内容是经过编码处理的，例如：</w:t>
      </w:r>
    </w:p>
    <w:tbl>
      <w:tblPr>
        <w:tblStyle w:val="1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spacing w:after="0" w:line="360" w:lineRule="auto"/>
              <w:ind w:firstLine="480"/>
              <w:rPr>
                <w:rFonts w:ascii="Times New Roman" w:hAnsi="Times New Roman" w:eastAsia="仿宋_GB2312"/>
                <w:sz w:val="24"/>
                <w:szCs w:val="28"/>
              </w:rPr>
            </w:pPr>
            <w:r>
              <w:rPr>
                <w:rFonts w:ascii="Times New Roman" w:hAnsi="Times New Roman" w:eastAsia="仿宋_GB2312"/>
                <w:sz w:val="24"/>
                <w:szCs w:val="28"/>
              </w:rPr>
              <w:t>%3Cxbrli%3Axbrl+xmlns%3Axsi%3D%22http%3A%2F%2Fwww.w3.org%2F2001%2FXMLSchema-instance%22+xmlns%3</w:t>
            </w:r>
            <w:r>
              <w:rPr>
                <w:rFonts w:hint="eastAsia" w:ascii="Times New Roman" w:hAnsi="Times New Roman" w:eastAsia="仿宋_GB2312"/>
                <w:sz w:val="24"/>
                <w:szCs w:val="28"/>
              </w:rPr>
              <w:t>co</w:t>
            </w:r>
            <w:r>
              <w:rPr>
                <w:rFonts w:ascii="Times New Roman" w:hAnsi="Times New Roman" w:eastAsia="仿宋_GB2312"/>
                <w:sz w:val="24"/>
                <w:szCs w:val="28"/>
              </w:rPr>
              <w:t>n%3D%22http%3A%2F%2Fxbrl.mof.gov.cn%2Ftaxonomy%2F2020-12-31%2Fgacc%22+xmlns%3Axlink%3D%22http%3A%2F%2Fwww.w3.org%2F1999%2Fxlink%22</w:t>
            </w:r>
          </w:p>
          <w:p>
            <w:pPr>
              <w:spacing w:after="0" w:line="360" w:lineRule="auto"/>
              <w:ind w:firstLine="480"/>
              <w:rPr>
                <w:rFonts w:ascii="Times New Roman" w:hAnsi="Times New Roman" w:eastAsia="仿宋_GB2312"/>
                <w:sz w:val="24"/>
                <w:szCs w:val="28"/>
              </w:rPr>
            </w:pPr>
            <w:r>
              <w:rPr>
                <w:rFonts w:hint="eastAsia" w:ascii="Times New Roman" w:hAnsi="Times New Roman" w:eastAsia="仿宋_GB2312"/>
                <w:sz w:val="24"/>
                <w:szCs w:val="28"/>
              </w:rPr>
              <w:t>.</w:t>
            </w:r>
            <w:r>
              <w:rPr>
                <w:rFonts w:ascii="Times New Roman" w:hAnsi="Times New Roman" w:eastAsia="仿宋_GB2312"/>
                <w:sz w:val="24"/>
                <w:szCs w:val="28"/>
              </w:rPr>
              <w:t>...........</w:t>
            </w:r>
          </w:p>
        </w:tc>
      </w:tr>
    </w:tbl>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在导入实例文档之前，需要对文件内容进行解码操作，这里采用的是URL解码方式，数据格式是UTF-8。</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以最常用的开发语言JAVA为例，如需对下载实例文档的内容（cipherText）进行解码，并生成对应的明文信息（clearText），可以调用以下代码：</w:t>
      </w:r>
    </w:p>
    <w:p>
      <w:pPr>
        <w:spacing w:after="0"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clearText = java.net.URLDecoder.decode(cipherText, "UTF-8");</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解码后的明文信息clearText如下：</w:t>
      </w:r>
    </w:p>
    <w:tbl>
      <w:tblPr>
        <w:tblStyle w:val="1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Ex>
        <w:tc>
          <w:tcPr>
            <w:tcW w:w="9963" w:type="dxa"/>
            <w:shd w:val="clear" w:color="auto" w:fill="F1F1F1" w:themeFill="background1" w:themeFillShade="F2"/>
          </w:tcPr>
          <w:p>
            <w:pPr>
              <w:spacing w:after="0" w:line="360" w:lineRule="auto"/>
              <w:ind w:firstLine="480"/>
              <w:rPr>
                <w:rFonts w:ascii="Times New Roman" w:hAnsi="Times New Roman" w:eastAsia="仿宋_GB2312"/>
                <w:sz w:val="24"/>
                <w:szCs w:val="24"/>
              </w:rPr>
            </w:pPr>
            <w:r>
              <w:rPr>
                <w:rFonts w:ascii="Times New Roman" w:hAnsi="Times New Roman" w:eastAsia="仿宋_GB2312"/>
                <w:sz w:val="24"/>
                <w:szCs w:val="24"/>
              </w:rPr>
              <w:t>&lt;xbrli:xbrl xmlns:xsi="http://www.w3.org/2001/XMLSchema-instance" xmlns:</w:t>
            </w:r>
            <w:r>
              <w:rPr>
                <w:rFonts w:hint="eastAsia" w:ascii="Times New Roman" w:hAnsi="Times New Roman" w:eastAsia="仿宋_GB2312"/>
                <w:sz w:val="24"/>
                <w:szCs w:val="24"/>
              </w:rPr>
              <w:t>con</w:t>
            </w:r>
            <w:r>
              <w:rPr>
                <w:rFonts w:ascii="Times New Roman" w:hAnsi="Times New Roman" w:eastAsia="仿宋_GB2312"/>
                <w:sz w:val="24"/>
                <w:szCs w:val="24"/>
              </w:rPr>
              <w:t>="http://xbrl.mof.gov.cn/taxonomy/2020-</w:t>
            </w:r>
            <w:r>
              <w:rPr>
                <w:rFonts w:hint="eastAsia" w:ascii="Times New Roman" w:hAnsi="Times New Roman" w:eastAsia="仿宋_GB2312"/>
                <w:sz w:val="24"/>
                <w:szCs w:val="24"/>
              </w:rPr>
              <w:t>12</w:t>
            </w:r>
            <w:r>
              <w:rPr>
                <w:rFonts w:ascii="Times New Roman" w:hAnsi="Times New Roman" w:eastAsia="仿宋_GB2312"/>
                <w:sz w:val="24"/>
                <w:szCs w:val="24"/>
              </w:rPr>
              <w:t>-</w:t>
            </w:r>
            <w:r>
              <w:rPr>
                <w:rFonts w:hint="eastAsia" w:ascii="Times New Roman" w:hAnsi="Times New Roman" w:eastAsia="仿宋_GB2312"/>
                <w:sz w:val="24"/>
                <w:szCs w:val="24"/>
              </w:rPr>
              <w:t>31</w:t>
            </w:r>
            <w:r>
              <w:rPr>
                <w:rFonts w:ascii="Times New Roman" w:hAnsi="Times New Roman" w:eastAsia="仿宋_GB2312"/>
                <w:sz w:val="24"/>
                <w:szCs w:val="24"/>
              </w:rPr>
              <w:t>/</w:t>
            </w:r>
            <w:r>
              <w:rPr>
                <w:rFonts w:hint="eastAsia" w:ascii="Times New Roman" w:hAnsi="Times New Roman" w:eastAsia="仿宋_GB2312"/>
                <w:sz w:val="24"/>
                <w:szCs w:val="24"/>
              </w:rPr>
              <w:t>con</w:t>
            </w:r>
            <w:r>
              <w:rPr>
                <w:rFonts w:ascii="Times New Roman" w:hAnsi="Times New Roman" w:eastAsia="仿宋_GB2312"/>
                <w:sz w:val="24"/>
                <w:szCs w:val="24"/>
              </w:rPr>
              <w:t xml:space="preserve"> xmlns:xlink="http://www.w3.org/1999/xlink"</w:t>
            </w:r>
          </w:p>
          <w:p>
            <w:pPr>
              <w:spacing w:after="0" w:line="360" w:lineRule="auto"/>
              <w:ind w:firstLine="480"/>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w:t>
            </w:r>
          </w:p>
        </w:tc>
      </w:tr>
    </w:tbl>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其他开发语言也有对应的URL解码方法。财务软件厂商可根据自身软件的开发语言及应用架构做好相应的解码处理。</w:t>
      </w:r>
    </w:p>
    <w:p>
      <w:pPr>
        <w:pStyle w:val="38"/>
        <w:rPr>
          <w:rFonts w:cs="Times New Roman"/>
        </w:rPr>
      </w:pPr>
      <w:r>
        <w:rPr>
          <w:rFonts w:hint="eastAsia" w:cs="Times New Roman"/>
        </w:rPr>
        <w:t>（二）元素数据类型及格式</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实例文档中大部分元素的数据类型都是xbrli:stringItemType，个别元素在数据类型和格式上有特殊要求。例如：</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◆询证函基本信息</w:t>
      </w:r>
    </w:p>
    <w:p>
      <w:pPr>
        <w:spacing w:after="0" w:line="360" w:lineRule="auto"/>
        <w:ind w:left="440" w:lef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①“函证基准日”是xbrli:dateItemType类型，格式是yyyy-mm-dd。</w:t>
      </w:r>
    </w:p>
    <w:p>
      <w:pPr>
        <w:spacing w:after="0" w:line="360" w:lineRule="auto"/>
        <w:ind w:left="440" w:lef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②“财务报表年份”是xbrli:</w:t>
      </w:r>
      <w:r>
        <w:t xml:space="preserve"> </w:t>
      </w:r>
      <w:r>
        <w:rPr>
          <w:rFonts w:ascii="Times New Roman" w:hAnsi="Times New Roman" w:eastAsia="仿宋_GB2312"/>
          <w:sz w:val="28"/>
          <w:szCs w:val="28"/>
        </w:rPr>
        <w:t>gYearItemType</w:t>
      </w:r>
      <w:r>
        <w:rPr>
          <w:rFonts w:hint="eastAsia" w:ascii="Times New Roman" w:hAnsi="Times New Roman" w:eastAsia="仿宋_GB2312"/>
          <w:sz w:val="28"/>
          <w:szCs w:val="28"/>
        </w:rPr>
        <w:t>类型，格式是yyyy。</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 被审计单位向银行已贴现而尚未到期的商业汇票</w:t>
      </w:r>
    </w:p>
    <w:p>
      <w:pPr>
        <w:spacing w:after="0" w:line="360" w:lineRule="auto"/>
        <w:ind w:left="440" w:lef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③“贴现率”是xbrli:</w:t>
      </w:r>
      <w:r>
        <w:t xml:space="preserve"> </w:t>
      </w:r>
      <w:r>
        <w:rPr>
          <w:rFonts w:ascii="Times New Roman" w:hAnsi="Times New Roman" w:eastAsia="仿宋_GB2312"/>
          <w:sz w:val="28"/>
          <w:szCs w:val="28"/>
        </w:rPr>
        <w:t>percentItemType</w:t>
      </w:r>
      <w:r>
        <w:rPr>
          <w:rFonts w:hint="eastAsia" w:ascii="Times New Roman" w:hAnsi="Times New Roman" w:eastAsia="仿宋_GB2312"/>
          <w:sz w:val="28"/>
          <w:szCs w:val="28"/>
        </w:rPr>
        <w:t>类型，以百分比形式填列。</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 被审计单位购买的由银行发行的未到期银行理财产品</w:t>
      </w:r>
    </w:p>
    <w:p>
      <w:pPr>
        <w:spacing w:after="0" w:line="360" w:lineRule="auto"/>
        <w:ind w:left="440" w:leftChars="200"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 ④“持有份额”是xbrli:</w:t>
      </w:r>
      <w:r>
        <w:t xml:space="preserve"> </w:t>
      </w:r>
      <w:r>
        <w:rPr>
          <w:rFonts w:ascii="Times New Roman" w:hAnsi="Times New Roman" w:eastAsia="仿宋_GB2312"/>
          <w:sz w:val="28"/>
          <w:szCs w:val="28"/>
        </w:rPr>
        <w:t>sharesItemType</w:t>
      </w:r>
      <w:r>
        <w:rPr>
          <w:rFonts w:hint="eastAsia" w:ascii="Times New Roman" w:hAnsi="Times New Roman" w:eastAsia="仿宋_GB2312"/>
          <w:sz w:val="28"/>
          <w:szCs w:val="28"/>
        </w:rPr>
        <w:t>类型，以数字形式填列。</w:t>
      </w:r>
    </w:p>
    <w:p>
      <w:pPr>
        <w:pStyle w:val="38"/>
        <w:rPr>
          <w:rFonts w:cs="Times New Roman"/>
        </w:rPr>
      </w:pPr>
      <w:r>
        <w:rPr>
          <w:rFonts w:hint="eastAsia" w:cs="Times New Roman"/>
        </w:rPr>
        <w:t>（三）实例文档上下文</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对于实体Entity、期间Period、维度Dimension的规定如下：</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 实体Entity：实体id使用被审计单位的“统一社会信用代码”</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 期间Period：类型时点值；格式yyyy-MM-dd；日期是函证基准日。</w:t>
      </w:r>
    </w:p>
    <w:p>
      <w:pPr>
        <w:spacing w:after="0" w:line="360" w:lineRule="auto"/>
        <w:ind w:left="220" w:leftChars="100" w:firstLine="560" w:firstLineChars="200"/>
        <w:rPr>
          <w:rFonts w:ascii="Times New Roman" w:hAnsi="Times New Roman" w:eastAsia="仿宋_GB2312"/>
          <w:sz w:val="28"/>
          <w:szCs w:val="28"/>
        </w:rPr>
      </w:pPr>
      <w:r>
        <w:rPr>
          <w:rFonts w:hint="eastAsia" w:ascii="Times New Roman" w:hAnsi="Times New Roman" w:eastAsia="仿宋_GB2312"/>
          <w:sz w:val="28"/>
          <w:szCs w:val="28"/>
        </w:rPr>
        <w:t>◆ 维度Dimension：银行询证函的全部信息使用“函证编号”作为维度，函证编号是银行询证函的唯一标识。</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实例文档上下文样例如下：</w:t>
      </w:r>
    </w:p>
    <w:tbl>
      <w:tblPr>
        <w:tblStyle w:val="16"/>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9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Ex>
        <w:trPr>
          <w:trHeight w:val="5330" w:hRule="atLeast"/>
          <w:jc w:val="center"/>
        </w:trPr>
        <w:tc>
          <w:tcPr>
            <w:tcW w:w="9661" w:type="dxa"/>
            <w:shd w:val="clear" w:color="auto" w:fill="F1F1F1" w:themeFill="background1" w:themeFillShade="F2"/>
          </w:tcPr>
          <w:p>
            <w:pPr>
              <w:pStyle w:val="40"/>
              <w:spacing w:before="120" w:beforeLines="50" w:after="0"/>
              <w:ind w:firstLine="0" w:firstLineChars="0"/>
              <w:rPr>
                <w:sz w:val="22"/>
                <w:szCs w:val="22"/>
              </w:rPr>
            </w:pPr>
            <w:r>
              <w:rPr>
                <w:sz w:val="22"/>
                <w:szCs w:val="22"/>
              </w:rPr>
              <w:t>&lt;xbrli:context id="As_of_2020_12_31_NumberOfConfirmationLineNumberAxis_3031100045"&gt;</w:t>
            </w:r>
          </w:p>
          <w:p>
            <w:pPr>
              <w:pStyle w:val="40"/>
              <w:spacing w:before="120" w:beforeLines="50" w:after="0"/>
              <w:ind w:firstLine="220" w:firstLineChars="100"/>
              <w:rPr>
                <w:sz w:val="22"/>
                <w:szCs w:val="22"/>
              </w:rPr>
            </w:pPr>
            <w:r>
              <w:rPr>
                <w:sz w:val="22"/>
                <w:szCs w:val="22"/>
              </w:rPr>
              <w:t>&lt;xbrli:entity&gt;</w:t>
            </w:r>
          </w:p>
          <w:p>
            <w:pPr>
              <w:pStyle w:val="40"/>
              <w:spacing w:before="120" w:beforeLines="50" w:after="0"/>
              <w:ind w:firstLine="440"/>
              <w:rPr>
                <w:sz w:val="22"/>
                <w:szCs w:val="22"/>
              </w:rPr>
            </w:pPr>
            <w:r>
              <w:rPr>
                <w:sz w:val="22"/>
                <w:szCs w:val="22"/>
              </w:rPr>
              <w:t>&lt;xbrli:identifier scheme="http://xbrl.mof.gov.cn"&gt;</w:t>
            </w:r>
            <w:r>
              <w:rPr>
                <w:rFonts w:hint="eastAsia"/>
                <w:sz w:val="22"/>
                <w:szCs w:val="22"/>
              </w:rPr>
              <w:t>913100000609134343</w:t>
            </w:r>
            <w:r>
              <w:rPr>
                <w:sz w:val="22"/>
                <w:szCs w:val="22"/>
              </w:rPr>
              <w:t>&lt;/xbrli:identifier&gt;</w:t>
            </w:r>
          </w:p>
          <w:p>
            <w:pPr>
              <w:pStyle w:val="40"/>
              <w:spacing w:before="120" w:beforeLines="50" w:after="0"/>
              <w:ind w:firstLine="220" w:firstLineChars="100"/>
              <w:rPr>
                <w:sz w:val="22"/>
                <w:szCs w:val="22"/>
              </w:rPr>
            </w:pPr>
            <w:r>
              <w:rPr>
                <w:sz w:val="22"/>
                <w:szCs w:val="22"/>
              </w:rPr>
              <w:t>&lt;/xbrli:entity&gt;</w:t>
            </w:r>
          </w:p>
          <w:p>
            <w:pPr>
              <w:pStyle w:val="40"/>
              <w:spacing w:before="120" w:beforeLines="50" w:after="0"/>
              <w:ind w:firstLine="220" w:firstLineChars="100"/>
              <w:rPr>
                <w:sz w:val="22"/>
                <w:szCs w:val="22"/>
              </w:rPr>
            </w:pPr>
            <w:r>
              <w:rPr>
                <w:sz w:val="22"/>
                <w:szCs w:val="22"/>
              </w:rPr>
              <w:t>&lt;xbrli:period&gt;</w:t>
            </w:r>
          </w:p>
          <w:p>
            <w:pPr>
              <w:pStyle w:val="40"/>
              <w:spacing w:before="120" w:beforeLines="50" w:after="0"/>
              <w:ind w:firstLine="440"/>
              <w:rPr>
                <w:sz w:val="22"/>
                <w:szCs w:val="22"/>
              </w:rPr>
            </w:pPr>
            <w:r>
              <w:rPr>
                <w:sz w:val="22"/>
                <w:szCs w:val="22"/>
              </w:rPr>
              <w:t>&lt;xbrli:instant&gt;2020-12-31&lt;/xbrli:instant&gt;</w:t>
            </w:r>
          </w:p>
          <w:p>
            <w:pPr>
              <w:pStyle w:val="40"/>
              <w:spacing w:before="120" w:beforeLines="50" w:after="0"/>
              <w:ind w:firstLine="220" w:firstLineChars="100"/>
              <w:rPr>
                <w:sz w:val="22"/>
                <w:szCs w:val="22"/>
              </w:rPr>
            </w:pPr>
            <w:r>
              <w:rPr>
                <w:sz w:val="22"/>
                <w:szCs w:val="22"/>
              </w:rPr>
              <w:t>&lt;/xbrli:period&gt;</w:t>
            </w:r>
          </w:p>
          <w:p>
            <w:pPr>
              <w:pStyle w:val="40"/>
              <w:spacing w:before="120" w:beforeLines="50" w:after="0"/>
              <w:ind w:firstLine="220" w:firstLineChars="100"/>
              <w:rPr>
                <w:sz w:val="22"/>
                <w:szCs w:val="22"/>
              </w:rPr>
            </w:pPr>
            <w:r>
              <w:rPr>
                <w:sz w:val="22"/>
                <w:szCs w:val="22"/>
              </w:rPr>
              <w:t>&lt;xbrli:scenario&gt;</w:t>
            </w:r>
          </w:p>
          <w:p>
            <w:pPr>
              <w:pStyle w:val="40"/>
              <w:spacing w:before="120" w:beforeLines="50" w:after="0"/>
              <w:ind w:firstLine="440"/>
              <w:rPr>
                <w:sz w:val="22"/>
                <w:szCs w:val="22"/>
              </w:rPr>
            </w:pPr>
            <w:r>
              <w:rPr>
                <w:sz w:val="22"/>
                <w:szCs w:val="22"/>
              </w:rPr>
              <w:t>&lt;xbrldi:typedMember dimension="</w:t>
            </w:r>
            <w:r>
              <w:rPr>
                <w:rFonts w:hint="eastAsia"/>
                <w:sz w:val="22"/>
                <w:szCs w:val="22"/>
              </w:rPr>
              <w:t>con</w:t>
            </w:r>
            <w:r>
              <w:rPr>
                <w:sz w:val="22"/>
                <w:szCs w:val="22"/>
              </w:rPr>
              <w:t>: NumberOfConfirmationLineNumberAxis "&gt;</w:t>
            </w:r>
          </w:p>
          <w:p>
            <w:pPr>
              <w:pStyle w:val="40"/>
              <w:spacing w:before="120" w:beforeLines="50" w:after="0"/>
              <w:ind w:firstLine="440"/>
              <w:rPr>
                <w:sz w:val="22"/>
                <w:szCs w:val="22"/>
              </w:rPr>
            </w:pPr>
            <w:r>
              <w:rPr>
                <w:sz w:val="22"/>
                <w:szCs w:val="22"/>
              </w:rPr>
              <w:t>&lt;con:LineNumber&gt;3031100045&lt;/con:LineNumber&gt;</w:t>
            </w:r>
          </w:p>
          <w:p>
            <w:pPr>
              <w:pStyle w:val="40"/>
              <w:spacing w:before="120" w:beforeLines="50" w:after="0"/>
              <w:ind w:firstLine="440"/>
              <w:rPr>
                <w:sz w:val="22"/>
                <w:szCs w:val="22"/>
              </w:rPr>
            </w:pPr>
            <w:r>
              <w:rPr>
                <w:sz w:val="22"/>
                <w:szCs w:val="22"/>
              </w:rPr>
              <w:t>&lt;/xbrldi:typedMember&gt;</w:t>
            </w:r>
          </w:p>
          <w:p>
            <w:pPr>
              <w:pStyle w:val="40"/>
              <w:spacing w:before="120" w:beforeLines="50" w:after="0"/>
              <w:ind w:firstLine="220" w:firstLineChars="100"/>
              <w:rPr>
                <w:sz w:val="22"/>
                <w:szCs w:val="22"/>
              </w:rPr>
            </w:pPr>
            <w:r>
              <w:rPr>
                <w:sz w:val="22"/>
                <w:szCs w:val="22"/>
              </w:rPr>
              <w:t>&lt;/xbrli:scenario&gt;</w:t>
            </w:r>
          </w:p>
          <w:p>
            <w:pPr>
              <w:pStyle w:val="40"/>
              <w:spacing w:before="120" w:beforeLines="50" w:after="0"/>
              <w:ind w:firstLine="0" w:firstLineChars="0"/>
              <w:rPr>
                <w:sz w:val="24"/>
                <w:szCs w:val="24"/>
              </w:rPr>
            </w:pPr>
            <w:r>
              <w:rPr>
                <w:sz w:val="22"/>
                <w:szCs w:val="22"/>
              </w:rPr>
              <w:t>&lt;/xbrli:context&gt;</w:t>
            </w:r>
          </w:p>
        </w:tc>
      </w:tr>
    </w:tbl>
    <w:p>
      <w:pPr>
        <w:spacing w:after="0" w:line="360" w:lineRule="auto"/>
        <w:rPr>
          <w:rFonts w:ascii="Times New Roman" w:hAnsi="Times New Roman" w:eastAsia="仿宋_GB2312"/>
          <w:sz w:val="28"/>
          <w:szCs w:val="28"/>
        </w:rPr>
      </w:pPr>
    </w:p>
    <w:p>
      <w:pPr>
        <w:pStyle w:val="37"/>
      </w:pPr>
      <w:r>
        <w:rPr>
          <w:rFonts w:hint="eastAsia"/>
        </w:rPr>
        <w:t>四、银行回函</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实例文档下载并解析后，银行在自有函证系统中完成对询证函的填制或核对确认。银行业金融机构应逐步完善信息系统建设，汇总提供被审计单位在银行的所有相关业务信息并自动提取数据生成实例文档。完成询证函的填制或确认之后，添加银行电子签章并通过API接口回传至第三方数字化函证平台，经平台验证签章后，完成对询证函的加密。</w:t>
      </w:r>
    </w:p>
    <w:p>
      <w:pPr>
        <w:pStyle w:val="37"/>
      </w:pPr>
      <w:r>
        <w:rPr>
          <w:rFonts w:hint="eastAsia"/>
        </w:rPr>
        <w:t>五、会计师事务所接收银行回函</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会计师事务所再次通过API接口从第三方数字化函证平台查询并下载银行回函。验证银行签章后，会计师事务所将解析实例文档数据，并通过衔接数字函证系统和其审计系统，对数字函证直接进行统计分析并形成审计证据，提高审计的质量和效率。</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数字化函证的保管期限需参照国家档案局印发的《企业电子文件归档和电子档案管理指南》的相关规定执行，加强规范化建设，确保数字化函证及其元数据的真实、完整和安全。</w:t>
      </w:r>
    </w:p>
    <w:p>
      <w:pPr>
        <w:pStyle w:val="37"/>
      </w:pPr>
      <w:r>
        <w:rPr>
          <w:rFonts w:hint="eastAsia"/>
        </w:rPr>
        <w:t>六、可信安全环境相关规定</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会计师事务所、被审计单位与银行之间的数字函证联系，需在可信安全环境下运行，满足可追溯、不可篡改的要求，确保函证的可靠性和安全性，促进成本降低与效率提升。全程处于可信安全环境下并符合函证数据标准的数字函证及回函，视同《中国注册会计师审计准则第1312号</w:t>
      </w:r>
      <w:r>
        <w:rPr>
          <w:rFonts w:hint="eastAsia" w:ascii="微软雅黑" w:hAnsi="微软雅黑" w:eastAsia="微软雅黑" w:cs="微软雅黑"/>
          <w:sz w:val="28"/>
          <w:szCs w:val="28"/>
        </w:rPr>
        <w:t>――</w:t>
      </w:r>
      <w:r>
        <w:rPr>
          <w:rFonts w:hint="eastAsia" w:ascii="仿宋_GB2312" w:hAnsi="仿宋_GB2312" w:eastAsia="仿宋_GB2312" w:cs="仿宋_GB2312"/>
          <w:sz w:val="28"/>
          <w:szCs w:val="28"/>
        </w:rPr>
        <w:t>函证》</w:t>
      </w:r>
      <w:r>
        <w:rPr>
          <w:rFonts w:hint="eastAsia" w:ascii="Times New Roman" w:hAnsi="Times New Roman" w:eastAsia="仿宋_GB2312"/>
          <w:sz w:val="28"/>
          <w:szCs w:val="28"/>
        </w:rPr>
        <w:t>外部函证原件，不需打印纸质回函并加盖银行印鉴。</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若采用第三方数字化函证平台作为数字函证联系的实现方式，应满足以下要求：</w:t>
      </w:r>
    </w:p>
    <w:p>
      <w:pPr>
        <w:pStyle w:val="25"/>
        <w:numPr>
          <w:ilvl w:val="0"/>
          <w:numId w:val="3"/>
        </w:numPr>
        <w:spacing w:after="0" w:line="360" w:lineRule="auto"/>
        <w:ind w:firstLineChars="0"/>
        <w:rPr>
          <w:rFonts w:ascii="Times New Roman" w:hAnsi="Times New Roman" w:eastAsia="仿宋_GB2312"/>
          <w:sz w:val="28"/>
          <w:szCs w:val="28"/>
        </w:rPr>
      </w:pPr>
      <w:r>
        <w:rPr>
          <w:rFonts w:hint="eastAsia" w:ascii="Times New Roman" w:hAnsi="Times New Roman" w:eastAsia="仿宋_GB2312"/>
          <w:sz w:val="28"/>
          <w:szCs w:val="28"/>
        </w:rPr>
        <w:t>信息安全性要求</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会计师事务所在第三方函证平台上传的实例文档在经过被审计单位确认后将正式生成函证申请，继而被永久储存，保证在会计师事务所发出询证函、被审计单位授权成功、银行签署回函的整个过程中，函证数据均不会改变，有效杜绝传统银行询证函在流转过程中的篡改和遗失风险。</w:t>
      </w:r>
    </w:p>
    <w:p>
      <w:pPr>
        <w:pStyle w:val="25"/>
        <w:numPr>
          <w:ilvl w:val="0"/>
          <w:numId w:val="3"/>
        </w:numPr>
        <w:spacing w:after="0" w:line="360" w:lineRule="auto"/>
        <w:ind w:firstLineChars="0"/>
        <w:rPr>
          <w:rFonts w:ascii="Times New Roman" w:hAnsi="Times New Roman" w:eastAsia="仿宋_GB2312"/>
          <w:sz w:val="28"/>
          <w:szCs w:val="28"/>
        </w:rPr>
      </w:pPr>
      <w:r>
        <w:rPr>
          <w:rFonts w:hint="eastAsia" w:ascii="Times New Roman" w:hAnsi="Times New Roman" w:eastAsia="仿宋_GB2312"/>
          <w:sz w:val="28"/>
          <w:szCs w:val="28"/>
        </w:rPr>
        <w:t>金融行业网络安全、应用安全、数据安全要求</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第三方函证平台需满足金融行业信息系统信息安全等级保护三级标准要求。其中，数据安全还应满足《金融数据安全-数据安全分级指南》（JR/T 0197—2020）、《金融数据安全-数据生命周期安全规范（送审稿）》相关要求。</w:t>
      </w:r>
    </w:p>
    <w:p>
      <w:pPr>
        <w:pStyle w:val="25"/>
        <w:numPr>
          <w:ilvl w:val="0"/>
          <w:numId w:val="3"/>
        </w:numPr>
        <w:spacing w:after="0" w:line="360" w:lineRule="auto"/>
        <w:ind w:firstLineChars="0"/>
        <w:rPr>
          <w:rFonts w:ascii="Times New Roman" w:hAnsi="Times New Roman" w:eastAsia="仿宋_GB2312"/>
          <w:sz w:val="28"/>
          <w:szCs w:val="28"/>
        </w:rPr>
      </w:pPr>
      <w:r>
        <w:rPr>
          <w:rFonts w:hint="eastAsia" w:ascii="Times New Roman" w:hAnsi="Times New Roman" w:eastAsia="仿宋_GB2312"/>
          <w:sz w:val="28"/>
          <w:szCs w:val="28"/>
        </w:rPr>
        <w:t>监管要求</w:t>
      </w:r>
    </w:p>
    <w:p>
      <w:pPr>
        <w:spacing w:after="0"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在系统实施和监管方面，第三方函证平台应申请纳入财政部函证数字化应用监管试点和人民银行金融科技创新应用监管试点，在依法合规的前提下稳妥运用数字化技术促进函证业务提质增效。</w:t>
      </w:r>
    </w:p>
    <w:p>
      <w:pPr>
        <w:spacing w:after="0" w:line="360" w:lineRule="auto"/>
        <w:ind w:firstLine="560" w:firstLineChars="200"/>
        <w:rPr>
          <w:rFonts w:ascii="Times New Roman" w:hAnsi="Times New Roman" w:eastAsia="仿宋_GB2312"/>
          <w:sz w:val="28"/>
          <w:szCs w:val="28"/>
        </w:rPr>
      </w:pPr>
    </w:p>
    <w:sectPr>
      <w:pgSz w:w="11907" w:h="16839"/>
      <w:pgMar w:top="1440" w:right="1080" w:bottom="1440" w:left="1080" w:header="283" w:footer="28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637962"/>
      <w:docPartObj>
        <w:docPartGallery w:val="autotext"/>
      </w:docPartObj>
    </w:sdtPr>
    <w:sdtEndPr>
      <w:rPr>
        <w:rFonts w:ascii="Times New Roman" w:hAnsi="Times New Roman" w:cs="Times New Roman"/>
      </w:rPr>
    </w:sdtEndPr>
    <w:sdtContent>
      <w:p>
        <w:pPr>
          <w:pStyle w:val="9"/>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pStyle w:val="2"/>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15C00B53"/>
    <w:multiLevelType w:val="multilevel"/>
    <w:tmpl w:val="15C00B5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640" w:hanging="360"/>
      </w:pPr>
    </w:lvl>
    <w:lvl w:ilvl="2" w:tentative="0">
      <w:start w:val="1"/>
      <w:numFmt w:val="lowerRoman"/>
      <w:lvlText w:val="%3."/>
      <w:lvlJc w:val="right"/>
      <w:pPr>
        <w:ind w:left="2360" w:hanging="180"/>
      </w:pPr>
    </w:lvl>
    <w:lvl w:ilvl="3" w:tentative="0">
      <w:start w:val="1"/>
      <w:numFmt w:val="decimal"/>
      <w:lvlText w:val="%4."/>
      <w:lvlJc w:val="left"/>
      <w:pPr>
        <w:ind w:left="3080" w:hanging="360"/>
      </w:pPr>
    </w:lvl>
    <w:lvl w:ilvl="4" w:tentative="0">
      <w:start w:val="1"/>
      <w:numFmt w:val="lowerLetter"/>
      <w:lvlText w:val="%5."/>
      <w:lvlJc w:val="left"/>
      <w:pPr>
        <w:ind w:left="3800" w:hanging="360"/>
      </w:pPr>
    </w:lvl>
    <w:lvl w:ilvl="5" w:tentative="0">
      <w:start w:val="1"/>
      <w:numFmt w:val="lowerRoman"/>
      <w:lvlText w:val="%6."/>
      <w:lvlJc w:val="right"/>
      <w:pPr>
        <w:ind w:left="4520" w:hanging="180"/>
      </w:pPr>
    </w:lvl>
    <w:lvl w:ilvl="6" w:tentative="0">
      <w:start w:val="1"/>
      <w:numFmt w:val="decimal"/>
      <w:lvlText w:val="%7."/>
      <w:lvlJc w:val="left"/>
      <w:pPr>
        <w:ind w:left="5240" w:hanging="360"/>
      </w:pPr>
    </w:lvl>
    <w:lvl w:ilvl="7" w:tentative="0">
      <w:start w:val="1"/>
      <w:numFmt w:val="lowerLetter"/>
      <w:lvlText w:val="%8."/>
      <w:lvlJc w:val="left"/>
      <w:pPr>
        <w:ind w:left="5960" w:hanging="360"/>
      </w:pPr>
    </w:lvl>
    <w:lvl w:ilvl="8" w:tentative="0">
      <w:start w:val="1"/>
      <w:numFmt w:val="lowerRoman"/>
      <w:lvlText w:val="%9."/>
      <w:lvlJc w:val="right"/>
      <w:pPr>
        <w:ind w:left="6680" w:hanging="180"/>
      </w:pPr>
    </w:lvl>
  </w:abstractNum>
  <w:abstractNum w:abstractNumId="2">
    <w:nsid w:val="4B7A5095"/>
    <w:multiLevelType w:val="multilevel"/>
    <w:tmpl w:val="4B7A509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F37F3"/>
    <w:rsid w:val="000035EC"/>
    <w:rsid w:val="00003B83"/>
    <w:rsid w:val="00003D92"/>
    <w:rsid w:val="0000462F"/>
    <w:rsid w:val="00006279"/>
    <w:rsid w:val="000068EB"/>
    <w:rsid w:val="00006C59"/>
    <w:rsid w:val="00006F55"/>
    <w:rsid w:val="00007C96"/>
    <w:rsid w:val="000107DA"/>
    <w:rsid w:val="0001162D"/>
    <w:rsid w:val="000120B6"/>
    <w:rsid w:val="00012E8C"/>
    <w:rsid w:val="0001519C"/>
    <w:rsid w:val="00015346"/>
    <w:rsid w:val="00016E52"/>
    <w:rsid w:val="0001745D"/>
    <w:rsid w:val="000179C8"/>
    <w:rsid w:val="00020890"/>
    <w:rsid w:val="00021919"/>
    <w:rsid w:val="000221FD"/>
    <w:rsid w:val="000230E7"/>
    <w:rsid w:val="000252E0"/>
    <w:rsid w:val="000252FD"/>
    <w:rsid w:val="00025C2C"/>
    <w:rsid w:val="00026308"/>
    <w:rsid w:val="0002783D"/>
    <w:rsid w:val="0003014C"/>
    <w:rsid w:val="00030822"/>
    <w:rsid w:val="00030DB5"/>
    <w:rsid w:val="00031464"/>
    <w:rsid w:val="0003150B"/>
    <w:rsid w:val="00033141"/>
    <w:rsid w:val="00033993"/>
    <w:rsid w:val="00034AC5"/>
    <w:rsid w:val="00034DFB"/>
    <w:rsid w:val="00040F4F"/>
    <w:rsid w:val="00041AD0"/>
    <w:rsid w:val="00043885"/>
    <w:rsid w:val="00050535"/>
    <w:rsid w:val="00051CF7"/>
    <w:rsid w:val="0005226C"/>
    <w:rsid w:val="00054AED"/>
    <w:rsid w:val="00056C47"/>
    <w:rsid w:val="00057C2B"/>
    <w:rsid w:val="00057C79"/>
    <w:rsid w:val="00060145"/>
    <w:rsid w:val="00060A9A"/>
    <w:rsid w:val="00060BEE"/>
    <w:rsid w:val="00061B97"/>
    <w:rsid w:val="00061DE3"/>
    <w:rsid w:val="00061E74"/>
    <w:rsid w:val="00061FED"/>
    <w:rsid w:val="000620DA"/>
    <w:rsid w:val="000632EF"/>
    <w:rsid w:val="00063C17"/>
    <w:rsid w:val="00066B26"/>
    <w:rsid w:val="00066C6D"/>
    <w:rsid w:val="00070EE5"/>
    <w:rsid w:val="000722DD"/>
    <w:rsid w:val="000736A0"/>
    <w:rsid w:val="00073C7D"/>
    <w:rsid w:val="00073DFD"/>
    <w:rsid w:val="0007408F"/>
    <w:rsid w:val="00075B7C"/>
    <w:rsid w:val="00075C4F"/>
    <w:rsid w:val="00081139"/>
    <w:rsid w:val="00081BCB"/>
    <w:rsid w:val="000825BC"/>
    <w:rsid w:val="0008429D"/>
    <w:rsid w:val="00084655"/>
    <w:rsid w:val="00085429"/>
    <w:rsid w:val="0008620B"/>
    <w:rsid w:val="000876D8"/>
    <w:rsid w:val="00090F87"/>
    <w:rsid w:val="00091B2D"/>
    <w:rsid w:val="00091E3E"/>
    <w:rsid w:val="00092329"/>
    <w:rsid w:val="0009387B"/>
    <w:rsid w:val="00094C5E"/>
    <w:rsid w:val="00095E8C"/>
    <w:rsid w:val="000972EE"/>
    <w:rsid w:val="000975B8"/>
    <w:rsid w:val="000A10B3"/>
    <w:rsid w:val="000A118D"/>
    <w:rsid w:val="000A124E"/>
    <w:rsid w:val="000A2D53"/>
    <w:rsid w:val="000A2F4F"/>
    <w:rsid w:val="000A3151"/>
    <w:rsid w:val="000A3934"/>
    <w:rsid w:val="000A3E3A"/>
    <w:rsid w:val="000A50F3"/>
    <w:rsid w:val="000A5B2B"/>
    <w:rsid w:val="000A62EE"/>
    <w:rsid w:val="000B033F"/>
    <w:rsid w:val="000B0648"/>
    <w:rsid w:val="000B0A2C"/>
    <w:rsid w:val="000B0DF2"/>
    <w:rsid w:val="000B110F"/>
    <w:rsid w:val="000B23A5"/>
    <w:rsid w:val="000B3AC0"/>
    <w:rsid w:val="000B3D4B"/>
    <w:rsid w:val="000B58D6"/>
    <w:rsid w:val="000B7A89"/>
    <w:rsid w:val="000B7AC7"/>
    <w:rsid w:val="000C0C79"/>
    <w:rsid w:val="000C0E9F"/>
    <w:rsid w:val="000C139C"/>
    <w:rsid w:val="000C2C12"/>
    <w:rsid w:val="000C3705"/>
    <w:rsid w:val="000C3A2C"/>
    <w:rsid w:val="000C5627"/>
    <w:rsid w:val="000C579D"/>
    <w:rsid w:val="000D131C"/>
    <w:rsid w:val="000D2A7B"/>
    <w:rsid w:val="000D2EF7"/>
    <w:rsid w:val="000D4868"/>
    <w:rsid w:val="000D7439"/>
    <w:rsid w:val="000D7987"/>
    <w:rsid w:val="000D7B67"/>
    <w:rsid w:val="000E0402"/>
    <w:rsid w:val="000E06D2"/>
    <w:rsid w:val="000E0785"/>
    <w:rsid w:val="000E0AA3"/>
    <w:rsid w:val="000E14E6"/>
    <w:rsid w:val="000E1B93"/>
    <w:rsid w:val="000E20B3"/>
    <w:rsid w:val="000E2A39"/>
    <w:rsid w:val="000E338F"/>
    <w:rsid w:val="000E3434"/>
    <w:rsid w:val="000E4C77"/>
    <w:rsid w:val="000E56C4"/>
    <w:rsid w:val="000E65E3"/>
    <w:rsid w:val="000E65FB"/>
    <w:rsid w:val="000E7C1C"/>
    <w:rsid w:val="000F167A"/>
    <w:rsid w:val="000F29A9"/>
    <w:rsid w:val="000F29F2"/>
    <w:rsid w:val="000F2FCD"/>
    <w:rsid w:val="000F3932"/>
    <w:rsid w:val="000F3E57"/>
    <w:rsid w:val="000F4C6F"/>
    <w:rsid w:val="000F509B"/>
    <w:rsid w:val="000F60B3"/>
    <w:rsid w:val="001011DD"/>
    <w:rsid w:val="001019FE"/>
    <w:rsid w:val="00103DF2"/>
    <w:rsid w:val="0010587A"/>
    <w:rsid w:val="00105939"/>
    <w:rsid w:val="00105AEF"/>
    <w:rsid w:val="00105BED"/>
    <w:rsid w:val="00111452"/>
    <w:rsid w:val="00112B09"/>
    <w:rsid w:val="00112BA5"/>
    <w:rsid w:val="00113337"/>
    <w:rsid w:val="0011376A"/>
    <w:rsid w:val="00113960"/>
    <w:rsid w:val="00113EE9"/>
    <w:rsid w:val="00114296"/>
    <w:rsid w:val="00114408"/>
    <w:rsid w:val="00114B70"/>
    <w:rsid w:val="001151A2"/>
    <w:rsid w:val="00116097"/>
    <w:rsid w:val="0011734F"/>
    <w:rsid w:val="00120115"/>
    <w:rsid w:val="001210A4"/>
    <w:rsid w:val="0012113B"/>
    <w:rsid w:val="0012123E"/>
    <w:rsid w:val="001217D4"/>
    <w:rsid w:val="00122514"/>
    <w:rsid w:val="001225C0"/>
    <w:rsid w:val="001225DC"/>
    <w:rsid w:val="00123BF2"/>
    <w:rsid w:val="001255E1"/>
    <w:rsid w:val="00125FF5"/>
    <w:rsid w:val="00126648"/>
    <w:rsid w:val="00126E89"/>
    <w:rsid w:val="00127185"/>
    <w:rsid w:val="00130047"/>
    <w:rsid w:val="001310BC"/>
    <w:rsid w:val="00131271"/>
    <w:rsid w:val="00132A75"/>
    <w:rsid w:val="00134346"/>
    <w:rsid w:val="00134FC2"/>
    <w:rsid w:val="00135A61"/>
    <w:rsid w:val="00136F59"/>
    <w:rsid w:val="00137D4F"/>
    <w:rsid w:val="001439E7"/>
    <w:rsid w:val="00143CF1"/>
    <w:rsid w:val="001440C0"/>
    <w:rsid w:val="00144832"/>
    <w:rsid w:val="00145499"/>
    <w:rsid w:val="00145B57"/>
    <w:rsid w:val="00146E6E"/>
    <w:rsid w:val="00147CFA"/>
    <w:rsid w:val="00150523"/>
    <w:rsid w:val="0015077A"/>
    <w:rsid w:val="001508BA"/>
    <w:rsid w:val="00150D86"/>
    <w:rsid w:val="001530F1"/>
    <w:rsid w:val="0015332E"/>
    <w:rsid w:val="00155D28"/>
    <w:rsid w:val="00156FE4"/>
    <w:rsid w:val="0015707A"/>
    <w:rsid w:val="0015762F"/>
    <w:rsid w:val="00157A14"/>
    <w:rsid w:val="00157DED"/>
    <w:rsid w:val="00160FF1"/>
    <w:rsid w:val="001642FA"/>
    <w:rsid w:val="00164DBC"/>
    <w:rsid w:val="00167105"/>
    <w:rsid w:val="00167117"/>
    <w:rsid w:val="0017015E"/>
    <w:rsid w:val="00170E15"/>
    <w:rsid w:val="001710D3"/>
    <w:rsid w:val="00171B57"/>
    <w:rsid w:val="00173000"/>
    <w:rsid w:val="00174773"/>
    <w:rsid w:val="001752B6"/>
    <w:rsid w:val="001752C9"/>
    <w:rsid w:val="00176894"/>
    <w:rsid w:val="00176C8B"/>
    <w:rsid w:val="00176EBA"/>
    <w:rsid w:val="00180100"/>
    <w:rsid w:val="00180D8C"/>
    <w:rsid w:val="00182B79"/>
    <w:rsid w:val="00182EB3"/>
    <w:rsid w:val="00183BD6"/>
    <w:rsid w:val="0018411A"/>
    <w:rsid w:val="00184219"/>
    <w:rsid w:val="00184C23"/>
    <w:rsid w:val="00184EF7"/>
    <w:rsid w:val="00185B40"/>
    <w:rsid w:val="0018693A"/>
    <w:rsid w:val="00187559"/>
    <w:rsid w:val="001908B6"/>
    <w:rsid w:val="00192414"/>
    <w:rsid w:val="00192D24"/>
    <w:rsid w:val="00195113"/>
    <w:rsid w:val="00196670"/>
    <w:rsid w:val="00197066"/>
    <w:rsid w:val="001A0DCB"/>
    <w:rsid w:val="001A0E7D"/>
    <w:rsid w:val="001A0EE0"/>
    <w:rsid w:val="001A1017"/>
    <w:rsid w:val="001A11A0"/>
    <w:rsid w:val="001A282F"/>
    <w:rsid w:val="001A3ABE"/>
    <w:rsid w:val="001A5634"/>
    <w:rsid w:val="001A571A"/>
    <w:rsid w:val="001A63FF"/>
    <w:rsid w:val="001A6B7E"/>
    <w:rsid w:val="001B27C4"/>
    <w:rsid w:val="001B39B8"/>
    <w:rsid w:val="001B3DB4"/>
    <w:rsid w:val="001B4DD3"/>
    <w:rsid w:val="001B5520"/>
    <w:rsid w:val="001B610C"/>
    <w:rsid w:val="001B6E56"/>
    <w:rsid w:val="001B73C1"/>
    <w:rsid w:val="001B7FB5"/>
    <w:rsid w:val="001C0F30"/>
    <w:rsid w:val="001C139B"/>
    <w:rsid w:val="001C16A3"/>
    <w:rsid w:val="001C2169"/>
    <w:rsid w:val="001C2824"/>
    <w:rsid w:val="001C3F5F"/>
    <w:rsid w:val="001C44DC"/>
    <w:rsid w:val="001C4764"/>
    <w:rsid w:val="001C5AF6"/>
    <w:rsid w:val="001C672A"/>
    <w:rsid w:val="001C7BF4"/>
    <w:rsid w:val="001C7CCA"/>
    <w:rsid w:val="001C7FDB"/>
    <w:rsid w:val="001D2708"/>
    <w:rsid w:val="001D2A42"/>
    <w:rsid w:val="001D3EDA"/>
    <w:rsid w:val="001D41AD"/>
    <w:rsid w:val="001D4CB9"/>
    <w:rsid w:val="001D5BF2"/>
    <w:rsid w:val="001D65E4"/>
    <w:rsid w:val="001D68C0"/>
    <w:rsid w:val="001D6D94"/>
    <w:rsid w:val="001E07F4"/>
    <w:rsid w:val="001E0D02"/>
    <w:rsid w:val="001E1367"/>
    <w:rsid w:val="001E206A"/>
    <w:rsid w:val="001E269B"/>
    <w:rsid w:val="001E2AA2"/>
    <w:rsid w:val="001E3337"/>
    <w:rsid w:val="001E366D"/>
    <w:rsid w:val="001E3A63"/>
    <w:rsid w:val="001E49C8"/>
    <w:rsid w:val="001E5B75"/>
    <w:rsid w:val="001E6027"/>
    <w:rsid w:val="001E665E"/>
    <w:rsid w:val="001E6A71"/>
    <w:rsid w:val="001E78E9"/>
    <w:rsid w:val="001E78FD"/>
    <w:rsid w:val="001E7965"/>
    <w:rsid w:val="001F10EA"/>
    <w:rsid w:val="001F11A5"/>
    <w:rsid w:val="001F1520"/>
    <w:rsid w:val="001F1895"/>
    <w:rsid w:val="001F1F51"/>
    <w:rsid w:val="001F24C3"/>
    <w:rsid w:val="001F26BF"/>
    <w:rsid w:val="001F518A"/>
    <w:rsid w:val="001F5C16"/>
    <w:rsid w:val="001F5E1E"/>
    <w:rsid w:val="00201021"/>
    <w:rsid w:val="00202323"/>
    <w:rsid w:val="00203BD6"/>
    <w:rsid w:val="00203CEF"/>
    <w:rsid w:val="00204232"/>
    <w:rsid w:val="00204F4C"/>
    <w:rsid w:val="00205043"/>
    <w:rsid w:val="0020520E"/>
    <w:rsid w:val="0020678B"/>
    <w:rsid w:val="00206C30"/>
    <w:rsid w:val="002070D6"/>
    <w:rsid w:val="00207ED8"/>
    <w:rsid w:val="00210D96"/>
    <w:rsid w:val="00211012"/>
    <w:rsid w:val="002138B5"/>
    <w:rsid w:val="00213906"/>
    <w:rsid w:val="00214BF1"/>
    <w:rsid w:val="00216568"/>
    <w:rsid w:val="00217896"/>
    <w:rsid w:val="00217987"/>
    <w:rsid w:val="0022211A"/>
    <w:rsid w:val="00223EB4"/>
    <w:rsid w:val="00224707"/>
    <w:rsid w:val="00226BD9"/>
    <w:rsid w:val="00227063"/>
    <w:rsid w:val="00227933"/>
    <w:rsid w:val="00227B08"/>
    <w:rsid w:val="00227B5F"/>
    <w:rsid w:val="0023012D"/>
    <w:rsid w:val="002305F1"/>
    <w:rsid w:val="002306E3"/>
    <w:rsid w:val="00231820"/>
    <w:rsid w:val="00231B97"/>
    <w:rsid w:val="002323F3"/>
    <w:rsid w:val="00232A8E"/>
    <w:rsid w:val="00235342"/>
    <w:rsid w:val="00235576"/>
    <w:rsid w:val="0023608B"/>
    <w:rsid w:val="00242734"/>
    <w:rsid w:val="0024280F"/>
    <w:rsid w:val="00243A35"/>
    <w:rsid w:val="002441DC"/>
    <w:rsid w:val="00246EB8"/>
    <w:rsid w:val="00247E81"/>
    <w:rsid w:val="002504FB"/>
    <w:rsid w:val="002512D4"/>
    <w:rsid w:val="00251CF9"/>
    <w:rsid w:val="00251FFA"/>
    <w:rsid w:val="0025261D"/>
    <w:rsid w:val="00252B48"/>
    <w:rsid w:val="002539ED"/>
    <w:rsid w:val="002550DA"/>
    <w:rsid w:val="00255BCB"/>
    <w:rsid w:val="002577E3"/>
    <w:rsid w:val="002614C5"/>
    <w:rsid w:val="00261CEE"/>
    <w:rsid w:val="00261D22"/>
    <w:rsid w:val="00261DD2"/>
    <w:rsid w:val="002624C1"/>
    <w:rsid w:val="00262922"/>
    <w:rsid w:val="00262A10"/>
    <w:rsid w:val="0026346C"/>
    <w:rsid w:val="00263AC3"/>
    <w:rsid w:val="002656AC"/>
    <w:rsid w:val="002656E6"/>
    <w:rsid w:val="00265AD8"/>
    <w:rsid w:val="00265FFD"/>
    <w:rsid w:val="002665AF"/>
    <w:rsid w:val="00266758"/>
    <w:rsid w:val="002668A3"/>
    <w:rsid w:val="00266EF0"/>
    <w:rsid w:val="00267BDE"/>
    <w:rsid w:val="00267D37"/>
    <w:rsid w:val="002709E6"/>
    <w:rsid w:val="002718FF"/>
    <w:rsid w:val="0027271E"/>
    <w:rsid w:val="002735D0"/>
    <w:rsid w:val="0027411C"/>
    <w:rsid w:val="00274751"/>
    <w:rsid w:val="002750EA"/>
    <w:rsid w:val="00276C09"/>
    <w:rsid w:val="00280163"/>
    <w:rsid w:val="0028064D"/>
    <w:rsid w:val="00280681"/>
    <w:rsid w:val="002812BF"/>
    <w:rsid w:val="00281DFE"/>
    <w:rsid w:val="00282173"/>
    <w:rsid w:val="002828C4"/>
    <w:rsid w:val="00282C87"/>
    <w:rsid w:val="00283695"/>
    <w:rsid w:val="002839DF"/>
    <w:rsid w:val="00284DA6"/>
    <w:rsid w:val="002854ED"/>
    <w:rsid w:val="00285D20"/>
    <w:rsid w:val="002870B0"/>
    <w:rsid w:val="0029021E"/>
    <w:rsid w:val="00291D63"/>
    <w:rsid w:val="0029210F"/>
    <w:rsid w:val="00292AA5"/>
    <w:rsid w:val="00294AE3"/>
    <w:rsid w:val="00294FD5"/>
    <w:rsid w:val="00295B1C"/>
    <w:rsid w:val="00295FF5"/>
    <w:rsid w:val="00297B7E"/>
    <w:rsid w:val="00297CC3"/>
    <w:rsid w:val="00297D88"/>
    <w:rsid w:val="002A073A"/>
    <w:rsid w:val="002A09C4"/>
    <w:rsid w:val="002A150E"/>
    <w:rsid w:val="002A32EC"/>
    <w:rsid w:val="002A338D"/>
    <w:rsid w:val="002A3BE5"/>
    <w:rsid w:val="002A404C"/>
    <w:rsid w:val="002A4434"/>
    <w:rsid w:val="002A5068"/>
    <w:rsid w:val="002A50D9"/>
    <w:rsid w:val="002A5E02"/>
    <w:rsid w:val="002A5E91"/>
    <w:rsid w:val="002A5F37"/>
    <w:rsid w:val="002B05A0"/>
    <w:rsid w:val="002B43BC"/>
    <w:rsid w:val="002B43E0"/>
    <w:rsid w:val="002B5BAC"/>
    <w:rsid w:val="002B62A9"/>
    <w:rsid w:val="002C090F"/>
    <w:rsid w:val="002C2515"/>
    <w:rsid w:val="002C3AC3"/>
    <w:rsid w:val="002C494F"/>
    <w:rsid w:val="002C4B7D"/>
    <w:rsid w:val="002C5A1E"/>
    <w:rsid w:val="002C6434"/>
    <w:rsid w:val="002C69BA"/>
    <w:rsid w:val="002C751E"/>
    <w:rsid w:val="002D0C9C"/>
    <w:rsid w:val="002D23C5"/>
    <w:rsid w:val="002D3594"/>
    <w:rsid w:val="002D41CE"/>
    <w:rsid w:val="002D491B"/>
    <w:rsid w:val="002D4B00"/>
    <w:rsid w:val="002E0148"/>
    <w:rsid w:val="002E07AD"/>
    <w:rsid w:val="002E134D"/>
    <w:rsid w:val="002E1FEF"/>
    <w:rsid w:val="002E2CE7"/>
    <w:rsid w:val="002E3827"/>
    <w:rsid w:val="002E43F1"/>
    <w:rsid w:val="002E5AF4"/>
    <w:rsid w:val="002E5B07"/>
    <w:rsid w:val="002E5C48"/>
    <w:rsid w:val="002E6A16"/>
    <w:rsid w:val="002E7359"/>
    <w:rsid w:val="002F0AB8"/>
    <w:rsid w:val="002F1BFE"/>
    <w:rsid w:val="002F2B3D"/>
    <w:rsid w:val="002F31E4"/>
    <w:rsid w:val="002F579E"/>
    <w:rsid w:val="002F5CF8"/>
    <w:rsid w:val="002F7308"/>
    <w:rsid w:val="002F7F67"/>
    <w:rsid w:val="0030089E"/>
    <w:rsid w:val="003021E3"/>
    <w:rsid w:val="00302744"/>
    <w:rsid w:val="003028EC"/>
    <w:rsid w:val="00302D7B"/>
    <w:rsid w:val="0030369E"/>
    <w:rsid w:val="0030396D"/>
    <w:rsid w:val="00303F8A"/>
    <w:rsid w:val="003043DF"/>
    <w:rsid w:val="0030495E"/>
    <w:rsid w:val="003073F9"/>
    <w:rsid w:val="00307632"/>
    <w:rsid w:val="00307768"/>
    <w:rsid w:val="00310F5C"/>
    <w:rsid w:val="003116E7"/>
    <w:rsid w:val="00311BFE"/>
    <w:rsid w:val="00312499"/>
    <w:rsid w:val="00312C36"/>
    <w:rsid w:val="00313C47"/>
    <w:rsid w:val="00314BD5"/>
    <w:rsid w:val="00315EE7"/>
    <w:rsid w:val="00317304"/>
    <w:rsid w:val="00317E4C"/>
    <w:rsid w:val="003209E8"/>
    <w:rsid w:val="0032195F"/>
    <w:rsid w:val="00321B37"/>
    <w:rsid w:val="00323081"/>
    <w:rsid w:val="00326BBB"/>
    <w:rsid w:val="00326CE0"/>
    <w:rsid w:val="00327171"/>
    <w:rsid w:val="003274DA"/>
    <w:rsid w:val="00330386"/>
    <w:rsid w:val="00330CC7"/>
    <w:rsid w:val="00331EC2"/>
    <w:rsid w:val="00332104"/>
    <w:rsid w:val="00333A1B"/>
    <w:rsid w:val="00333B13"/>
    <w:rsid w:val="00335D70"/>
    <w:rsid w:val="00337015"/>
    <w:rsid w:val="0034063D"/>
    <w:rsid w:val="0034244B"/>
    <w:rsid w:val="00345024"/>
    <w:rsid w:val="00345353"/>
    <w:rsid w:val="0034607B"/>
    <w:rsid w:val="00346544"/>
    <w:rsid w:val="00346BDB"/>
    <w:rsid w:val="00347B49"/>
    <w:rsid w:val="00350A61"/>
    <w:rsid w:val="00351141"/>
    <w:rsid w:val="003520C3"/>
    <w:rsid w:val="00352D14"/>
    <w:rsid w:val="00353011"/>
    <w:rsid w:val="003537B1"/>
    <w:rsid w:val="00353944"/>
    <w:rsid w:val="00353A4E"/>
    <w:rsid w:val="00354410"/>
    <w:rsid w:val="00355148"/>
    <w:rsid w:val="0035599A"/>
    <w:rsid w:val="003568B0"/>
    <w:rsid w:val="00356A76"/>
    <w:rsid w:val="0035791B"/>
    <w:rsid w:val="00360612"/>
    <w:rsid w:val="003621DA"/>
    <w:rsid w:val="00362375"/>
    <w:rsid w:val="00363160"/>
    <w:rsid w:val="003634D2"/>
    <w:rsid w:val="00363887"/>
    <w:rsid w:val="00364CD9"/>
    <w:rsid w:val="00366020"/>
    <w:rsid w:val="00373C6D"/>
    <w:rsid w:val="00373F3F"/>
    <w:rsid w:val="00373FE3"/>
    <w:rsid w:val="003746F2"/>
    <w:rsid w:val="00375407"/>
    <w:rsid w:val="00375EE0"/>
    <w:rsid w:val="0037663B"/>
    <w:rsid w:val="00376BAD"/>
    <w:rsid w:val="003771E0"/>
    <w:rsid w:val="00380F42"/>
    <w:rsid w:val="00382CC0"/>
    <w:rsid w:val="00383F1B"/>
    <w:rsid w:val="0038442C"/>
    <w:rsid w:val="00384935"/>
    <w:rsid w:val="00385378"/>
    <w:rsid w:val="003855F8"/>
    <w:rsid w:val="00386622"/>
    <w:rsid w:val="00387377"/>
    <w:rsid w:val="00387450"/>
    <w:rsid w:val="00387992"/>
    <w:rsid w:val="00387B33"/>
    <w:rsid w:val="00390FEC"/>
    <w:rsid w:val="00391691"/>
    <w:rsid w:val="003916DE"/>
    <w:rsid w:val="0039193C"/>
    <w:rsid w:val="003925C1"/>
    <w:rsid w:val="00392EB2"/>
    <w:rsid w:val="00393393"/>
    <w:rsid w:val="003934D8"/>
    <w:rsid w:val="00395308"/>
    <w:rsid w:val="0039688F"/>
    <w:rsid w:val="003A103A"/>
    <w:rsid w:val="003A1D98"/>
    <w:rsid w:val="003A34A3"/>
    <w:rsid w:val="003A483D"/>
    <w:rsid w:val="003A4E79"/>
    <w:rsid w:val="003A5E10"/>
    <w:rsid w:val="003A66CF"/>
    <w:rsid w:val="003B04B1"/>
    <w:rsid w:val="003B0509"/>
    <w:rsid w:val="003B13D9"/>
    <w:rsid w:val="003B2925"/>
    <w:rsid w:val="003B2BD3"/>
    <w:rsid w:val="003B3D68"/>
    <w:rsid w:val="003B3F0A"/>
    <w:rsid w:val="003B47FA"/>
    <w:rsid w:val="003B4923"/>
    <w:rsid w:val="003C0AC5"/>
    <w:rsid w:val="003C1538"/>
    <w:rsid w:val="003C25F6"/>
    <w:rsid w:val="003C2DA7"/>
    <w:rsid w:val="003C358C"/>
    <w:rsid w:val="003C4FE0"/>
    <w:rsid w:val="003C568C"/>
    <w:rsid w:val="003C5BA0"/>
    <w:rsid w:val="003C5D2E"/>
    <w:rsid w:val="003C6075"/>
    <w:rsid w:val="003C6A50"/>
    <w:rsid w:val="003C71BB"/>
    <w:rsid w:val="003D13C7"/>
    <w:rsid w:val="003D14E1"/>
    <w:rsid w:val="003D15B6"/>
    <w:rsid w:val="003D1857"/>
    <w:rsid w:val="003D225C"/>
    <w:rsid w:val="003D2CDD"/>
    <w:rsid w:val="003D36AB"/>
    <w:rsid w:val="003D4556"/>
    <w:rsid w:val="003D5064"/>
    <w:rsid w:val="003D5CCD"/>
    <w:rsid w:val="003D6204"/>
    <w:rsid w:val="003D76FD"/>
    <w:rsid w:val="003E0CC3"/>
    <w:rsid w:val="003E0D1A"/>
    <w:rsid w:val="003E194C"/>
    <w:rsid w:val="003E2A17"/>
    <w:rsid w:val="003E2B73"/>
    <w:rsid w:val="003E353C"/>
    <w:rsid w:val="003E38A3"/>
    <w:rsid w:val="003E3A7E"/>
    <w:rsid w:val="003E3CB2"/>
    <w:rsid w:val="003E4453"/>
    <w:rsid w:val="003E5026"/>
    <w:rsid w:val="003E54C7"/>
    <w:rsid w:val="003E5F65"/>
    <w:rsid w:val="003E6B9A"/>
    <w:rsid w:val="003E74B7"/>
    <w:rsid w:val="003E7831"/>
    <w:rsid w:val="003E78A6"/>
    <w:rsid w:val="003E7B6C"/>
    <w:rsid w:val="003F019D"/>
    <w:rsid w:val="003F0987"/>
    <w:rsid w:val="003F0A30"/>
    <w:rsid w:val="003F0CE0"/>
    <w:rsid w:val="003F113B"/>
    <w:rsid w:val="003F1ADA"/>
    <w:rsid w:val="003F56B3"/>
    <w:rsid w:val="003F5A20"/>
    <w:rsid w:val="003F5A45"/>
    <w:rsid w:val="003F7156"/>
    <w:rsid w:val="003F7C08"/>
    <w:rsid w:val="004004A4"/>
    <w:rsid w:val="00400741"/>
    <w:rsid w:val="00400C9C"/>
    <w:rsid w:val="00401AC5"/>
    <w:rsid w:val="00402674"/>
    <w:rsid w:val="00402C18"/>
    <w:rsid w:val="0040502D"/>
    <w:rsid w:val="00405410"/>
    <w:rsid w:val="004054A7"/>
    <w:rsid w:val="004055BE"/>
    <w:rsid w:val="00406BB2"/>
    <w:rsid w:val="00406F17"/>
    <w:rsid w:val="00406F93"/>
    <w:rsid w:val="004107AC"/>
    <w:rsid w:val="00410D03"/>
    <w:rsid w:val="00412ECE"/>
    <w:rsid w:val="004135AB"/>
    <w:rsid w:val="0041383F"/>
    <w:rsid w:val="00416CDC"/>
    <w:rsid w:val="004214C6"/>
    <w:rsid w:val="004214D9"/>
    <w:rsid w:val="00422162"/>
    <w:rsid w:val="00422432"/>
    <w:rsid w:val="00422518"/>
    <w:rsid w:val="0042290C"/>
    <w:rsid w:val="00423663"/>
    <w:rsid w:val="00423C5E"/>
    <w:rsid w:val="004243FA"/>
    <w:rsid w:val="00426BF4"/>
    <w:rsid w:val="00427885"/>
    <w:rsid w:val="00427EF9"/>
    <w:rsid w:val="004309D7"/>
    <w:rsid w:val="00430D4F"/>
    <w:rsid w:val="00431630"/>
    <w:rsid w:val="004321B5"/>
    <w:rsid w:val="00432992"/>
    <w:rsid w:val="00432D75"/>
    <w:rsid w:val="00433596"/>
    <w:rsid w:val="00433980"/>
    <w:rsid w:val="00433AFD"/>
    <w:rsid w:val="004346ED"/>
    <w:rsid w:val="00437CCB"/>
    <w:rsid w:val="004405C7"/>
    <w:rsid w:val="004405E4"/>
    <w:rsid w:val="00440F37"/>
    <w:rsid w:val="0044130F"/>
    <w:rsid w:val="0044284D"/>
    <w:rsid w:val="00442850"/>
    <w:rsid w:val="0044287B"/>
    <w:rsid w:val="004428EE"/>
    <w:rsid w:val="00443904"/>
    <w:rsid w:val="00443FAD"/>
    <w:rsid w:val="00444736"/>
    <w:rsid w:val="004450CC"/>
    <w:rsid w:val="00445B2F"/>
    <w:rsid w:val="00446282"/>
    <w:rsid w:val="00446B73"/>
    <w:rsid w:val="004472F5"/>
    <w:rsid w:val="0044789B"/>
    <w:rsid w:val="00450381"/>
    <w:rsid w:val="0045113A"/>
    <w:rsid w:val="0045217A"/>
    <w:rsid w:val="004539C9"/>
    <w:rsid w:val="00454072"/>
    <w:rsid w:val="00454F24"/>
    <w:rsid w:val="0045628D"/>
    <w:rsid w:val="0045706A"/>
    <w:rsid w:val="00457108"/>
    <w:rsid w:val="004573F5"/>
    <w:rsid w:val="00461E16"/>
    <w:rsid w:val="0046297A"/>
    <w:rsid w:val="00464934"/>
    <w:rsid w:val="004652B8"/>
    <w:rsid w:val="00465B60"/>
    <w:rsid w:val="00465B6B"/>
    <w:rsid w:val="0046744F"/>
    <w:rsid w:val="0047049D"/>
    <w:rsid w:val="004706BB"/>
    <w:rsid w:val="00470E7E"/>
    <w:rsid w:val="004713E9"/>
    <w:rsid w:val="00472BCC"/>
    <w:rsid w:val="00473EB8"/>
    <w:rsid w:val="004753E0"/>
    <w:rsid w:val="00475569"/>
    <w:rsid w:val="00477015"/>
    <w:rsid w:val="00477C63"/>
    <w:rsid w:val="0048029E"/>
    <w:rsid w:val="0048101A"/>
    <w:rsid w:val="0048128B"/>
    <w:rsid w:val="00481835"/>
    <w:rsid w:val="004822DA"/>
    <w:rsid w:val="004828B4"/>
    <w:rsid w:val="0048299B"/>
    <w:rsid w:val="00482F68"/>
    <w:rsid w:val="00482F6B"/>
    <w:rsid w:val="004833F4"/>
    <w:rsid w:val="004835F9"/>
    <w:rsid w:val="00483D0A"/>
    <w:rsid w:val="00483D50"/>
    <w:rsid w:val="00485BC1"/>
    <w:rsid w:val="00486787"/>
    <w:rsid w:val="00486C89"/>
    <w:rsid w:val="00486EFE"/>
    <w:rsid w:val="00487B65"/>
    <w:rsid w:val="00491154"/>
    <w:rsid w:val="00492686"/>
    <w:rsid w:val="004927EE"/>
    <w:rsid w:val="00496158"/>
    <w:rsid w:val="00497B5E"/>
    <w:rsid w:val="004A0957"/>
    <w:rsid w:val="004A390D"/>
    <w:rsid w:val="004A4A16"/>
    <w:rsid w:val="004A4EB7"/>
    <w:rsid w:val="004A56EB"/>
    <w:rsid w:val="004A68B0"/>
    <w:rsid w:val="004A76F9"/>
    <w:rsid w:val="004B0ECB"/>
    <w:rsid w:val="004B1655"/>
    <w:rsid w:val="004B1E55"/>
    <w:rsid w:val="004B28CD"/>
    <w:rsid w:val="004B41B1"/>
    <w:rsid w:val="004B537C"/>
    <w:rsid w:val="004B564E"/>
    <w:rsid w:val="004B6272"/>
    <w:rsid w:val="004B66A2"/>
    <w:rsid w:val="004B70EF"/>
    <w:rsid w:val="004B7A08"/>
    <w:rsid w:val="004C18D0"/>
    <w:rsid w:val="004C3666"/>
    <w:rsid w:val="004C4F99"/>
    <w:rsid w:val="004C5040"/>
    <w:rsid w:val="004C5683"/>
    <w:rsid w:val="004C5855"/>
    <w:rsid w:val="004C6AF9"/>
    <w:rsid w:val="004C6CCD"/>
    <w:rsid w:val="004C6D1E"/>
    <w:rsid w:val="004D0B47"/>
    <w:rsid w:val="004D216B"/>
    <w:rsid w:val="004D3468"/>
    <w:rsid w:val="004D3F1B"/>
    <w:rsid w:val="004D44CF"/>
    <w:rsid w:val="004D6755"/>
    <w:rsid w:val="004D685C"/>
    <w:rsid w:val="004D6E71"/>
    <w:rsid w:val="004D770E"/>
    <w:rsid w:val="004D7DF1"/>
    <w:rsid w:val="004D7E07"/>
    <w:rsid w:val="004E096F"/>
    <w:rsid w:val="004E18CE"/>
    <w:rsid w:val="004E1DE4"/>
    <w:rsid w:val="004E24BB"/>
    <w:rsid w:val="004E28E9"/>
    <w:rsid w:val="004E3063"/>
    <w:rsid w:val="004E3EF5"/>
    <w:rsid w:val="004E3FE9"/>
    <w:rsid w:val="004E4479"/>
    <w:rsid w:val="004E5CB9"/>
    <w:rsid w:val="004F0EBB"/>
    <w:rsid w:val="004F2CF2"/>
    <w:rsid w:val="004F400D"/>
    <w:rsid w:val="004F44AB"/>
    <w:rsid w:val="004F4C6F"/>
    <w:rsid w:val="004F5032"/>
    <w:rsid w:val="004F6380"/>
    <w:rsid w:val="004F6E37"/>
    <w:rsid w:val="0050118C"/>
    <w:rsid w:val="00502581"/>
    <w:rsid w:val="00504088"/>
    <w:rsid w:val="005041A2"/>
    <w:rsid w:val="0050507A"/>
    <w:rsid w:val="00505497"/>
    <w:rsid w:val="005061E2"/>
    <w:rsid w:val="00506F29"/>
    <w:rsid w:val="005132D9"/>
    <w:rsid w:val="00514D68"/>
    <w:rsid w:val="00516971"/>
    <w:rsid w:val="00516B9F"/>
    <w:rsid w:val="00516E52"/>
    <w:rsid w:val="005175CD"/>
    <w:rsid w:val="00517613"/>
    <w:rsid w:val="00520119"/>
    <w:rsid w:val="005225AA"/>
    <w:rsid w:val="00523481"/>
    <w:rsid w:val="0052452F"/>
    <w:rsid w:val="005267F7"/>
    <w:rsid w:val="0052720F"/>
    <w:rsid w:val="00531776"/>
    <w:rsid w:val="00533009"/>
    <w:rsid w:val="00535AAD"/>
    <w:rsid w:val="005366EA"/>
    <w:rsid w:val="00540246"/>
    <w:rsid w:val="0054227D"/>
    <w:rsid w:val="005429C2"/>
    <w:rsid w:val="00542D39"/>
    <w:rsid w:val="00542F16"/>
    <w:rsid w:val="005430D4"/>
    <w:rsid w:val="0054366C"/>
    <w:rsid w:val="00543E9B"/>
    <w:rsid w:val="005456A8"/>
    <w:rsid w:val="0054594A"/>
    <w:rsid w:val="00546897"/>
    <w:rsid w:val="00546A3C"/>
    <w:rsid w:val="00546EA6"/>
    <w:rsid w:val="005472E9"/>
    <w:rsid w:val="00550BBA"/>
    <w:rsid w:val="00552606"/>
    <w:rsid w:val="00553C87"/>
    <w:rsid w:val="00553F33"/>
    <w:rsid w:val="005544F6"/>
    <w:rsid w:val="00555BA9"/>
    <w:rsid w:val="0055664F"/>
    <w:rsid w:val="00557594"/>
    <w:rsid w:val="0056020A"/>
    <w:rsid w:val="005602E8"/>
    <w:rsid w:val="005604F5"/>
    <w:rsid w:val="00562696"/>
    <w:rsid w:val="00562727"/>
    <w:rsid w:val="00562CD6"/>
    <w:rsid w:val="005634DF"/>
    <w:rsid w:val="005635CA"/>
    <w:rsid w:val="00563CD1"/>
    <w:rsid w:val="00564289"/>
    <w:rsid w:val="0056793A"/>
    <w:rsid w:val="00570093"/>
    <w:rsid w:val="005704EB"/>
    <w:rsid w:val="00570577"/>
    <w:rsid w:val="00570860"/>
    <w:rsid w:val="00570A3D"/>
    <w:rsid w:val="0057129F"/>
    <w:rsid w:val="00571B52"/>
    <w:rsid w:val="00572CD3"/>
    <w:rsid w:val="00572D91"/>
    <w:rsid w:val="00573723"/>
    <w:rsid w:val="0057386F"/>
    <w:rsid w:val="00573879"/>
    <w:rsid w:val="005744D2"/>
    <w:rsid w:val="0057491E"/>
    <w:rsid w:val="005759CC"/>
    <w:rsid w:val="00576817"/>
    <w:rsid w:val="0057787D"/>
    <w:rsid w:val="00577949"/>
    <w:rsid w:val="00580DCD"/>
    <w:rsid w:val="0058215F"/>
    <w:rsid w:val="00582CD4"/>
    <w:rsid w:val="00582E01"/>
    <w:rsid w:val="00585494"/>
    <w:rsid w:val="00585532"/>
    <w:rsid w:val="00587F78"/>
    <w:rsid w:val="005904E4"/>
    <w:rsid w:val="00590EEF"/>
    <w:rsid w:val="00590F0E"/>
    <w:rsid w:val="005911A6"/>
    <w:rsid w:val="0059157C"/>
    <w:rsid w:val="00591C3C"/>
    <w:rsid w:val="005924CB"/>
    <w:rsid w:val="00593316"/>
    <w:rsid w:val="00595769"/>
    <w:rsid w:val="005A0395"/>
    <w:rsid w:val="005A0D75"/>
    <w:rsid w:val="005A17D2"/>
    <w:rsid w:val="005A5215"/>
    <w:rsid w:val="005A5582"/>
    <w:rsid w:val="005A5FD1"/>
    <w:rsid w:val="005A6480"/>
    <w:rsid w:val="005A7281"/>
    <w:rsid w:val="005B11B4"/>
    <w:rsid w:val="005B1E79"/>
    <w:rsid w:val="005B344D"/>
    <w:rsid w:val="005B38A6"/>
    <w:rsid w:val="005B643E"/>
    <w:rsid w:val="005B75FA"/>
    <w:rsid w:val="005B7803"/>
    <w:rsid w:val="005C03A4"/>
    <w:rsid w:val="005C0C0E"/>
    <w:rsid w:val="005C15E8"/>
    <w:rsid w:val="005C221D"/>
    <w:rsid w:val="005C2D40"/>
    <w:rsid w:val="005C3216"/>
    <w:rsid w:val="005C4778"/>
    <w:rsid w:val="005C4790"/>
    <w:rsid w:val="005C6070"/>
    <w:rsid w:val="005C6C1F"/>
    <w:rsid w:val="005C7177"/>
    <w:rsid w:val="005C73DD"/>
    <w:rsid w:val="005C7E39"/>
    <w:rsid w:val="005D0A34"/>
    <w:rsid w:val="005D0F49"/>
    <w:rsid w:val="005D2E4A"/>
    <w:rsid w:val="005D3D2F"/>
    <w:rsid w:val="005D4474"/>
    <w:rsid w:val="005D4D47"/>
    <w:rsid w:val="005D5D4C"/>
    <w:rsid w:val="005D6831"/>
    <w:rsid w:val="005D6A92"/>
    <w:rsid w:val="005E1AA3"/>
    <w:rsid w:val="005E221F"/>
    <w:rsid w:val="005E2ADF"/>
    <w:rsid w:val="005E352C"/>
    <w:rsid w:val="005E447B"/>
    <w:rsid w:val="005E4817"/>
    <w:rsid w:val="005E60FD"/>
    <w:rsid w:val="005E695A"/>
    <w:rsid w:val="005E6F1E"/>
    <w:rsid w:val="005F0045"/>
    <w:rsid w:val="005F0EBF"/>
    <w:rsid w:val="005F3BCD"/>
    <w:rsid w:val="005F4239"/>
    <w:rsid w:val="005F481E"/>
    <w:rsid w:val="005F558E"/>
    <w:rsid w:val="005F5ABE"/>
    <w:rsid w:val="005F6C74"/>
    <w:rsid w:val="005F6E60"/>
    <w:rsid w:val="006025C4"/>
    <w:rsid w:val="00602936"/>
    <w:rsid w:val="006033C8"/>
    <w:rsid w:val="00603520"/>
    <w:rsid w:val="006037F5"/>
    <w:rsid w:val="00603C4F"/>
    <w:rsid w:val="006041AD"/>
    <w:rsid w:val="00604B10"/>
    <w:rsid w:val="00605A8B"/>
    <w:rsid w:val="00606515"/>
    <w:rsid w:val="00606730"/>
    <w:rsid w:val="00607185"/>
    <w:rsid w:val="006075B2"/>
    <w:rsid w:val="00610C86"/>
    <w:rsid w:val="00610D55"/>
    <w:rsid w:val="00612318"/>
    <w:rsid w:val="0061372C"/>
    <w:rsid w:val="00614568"/>
    <w:rsid w:val="00615EF8"/>
    <w:rsid w:val="00616E7D"/>
    <w:rsid w:val="006172F8"/>
    <w:rsid w:val="006202EF"/>
    <w:rsid w:val="00620DFA"/>
    <w:rsid w:val="00621914"/>
    <w:rsid w:val="00622012"/>
    <w:rsid w:val="006239C4"/>
    <w:rsid w:val="006241F2"/>
    <w:rsid w:val="00624348"/>
    <w:rsid w:val="00624D75"/>
    <w:rsid w:val="00625946"/>
    <w:rsid w:val="00625F1A"/>
    <w:rsid w:val="00626A5C"/>
    <w:rsid w:val="00630845"/>
    <w:rsid w:val="006312FD"/>
    <w:rsid w:val="00631546"/>
    <w:rsid w:val="00631CE6"/>
    <w:rsid w:val="006321FE"/>
    <w:rsid w:val="00632F4E"/>
    <w:rsid w:val="00632F5B"/>
    <w:rsid w:val="00634420"/>
    <w:rsid w:val="00635CD6"/>
    <w:rsid w:val="00636C95"/>
    <w:rsid w:val="00637D0D"/>
    <w:rsid w:val="0064057F"/>
    <w:rsid w:val="00640940"/>
    <w:rsid w:val="00641350"/>
    <w:rsid w:val="00641A08"/>
    <w:rsid w:val="0064257D"/>
    <w:rsid w:val="00644324"/>
    <w:rsid w:val="00644F34"/>
    <w:rsid w:val="00645A99"/>
    <w:rsid w:val="00645B1B"/>
    <w:rsid w:val="00646443"/>
    <w:rsid w:val="00647822"/>
    <w:rsid w:val="0065072C"/>
    <w:rsid w:val="00651093"/>
    <w:rsid w:val="00651FB3"/>
    <w:rsid w:val="00652114"/>
    <w:rsid w:val="00652204"/>
    <w:rsid w:val="006534B1"/>
    <w:rsid w:val="00653734"/>
    <w:rsid w:val="006543C9"/>
    <w:rsid w:val="00655CF8"/>
    <w:rsid w:val="00661B86"/>
    <w:rsid w:val="00663D56"/>
    <w:rsid w:val="006647E4"/>
    <w:rsid w:val="00664B4E"/>
    <w:rsid w:val="00664D65"/>
    <w:rsid w:val="00665629"/>
    <w:rsid w:val="00665A79"/>
    <w:rsid w:val="00665C24"/>
    <w:rsid w:val="00665DBD"/>
    <w:rsid w:val="006660CD"/>
    <w:rsid w:val="0066645D"/>
    <w:rsid w:val="006665AB"/>
    <w:rsid w:val="00667904"/>
    <w:rsid w:val="00667EE3"/>
    <w:rsid w:val="006703A2"/>
    <w:rsid w:val="0067129E"/>
    <w:rsid w:val="006718F0"/>
    <w:rsid w:val="00671DFB"/>
    <w:rsid w:val="006734F8"/>
    <w:rsid w:val="006746B2"/>
    <w:rsid w:val="00674B06"/>
    <w:rsid w:val="00677379"/>
    <w:rsid w:val="00680774"/>
    <w:rsid w:val="00681F0D"/>
    <w:rsid w:val="00682798"/>
    <w:rsid w:val="00683380"/>
    <w:rsid w:val="0068348B"/>
    <w:rsid w:val="00684088"/>
    <w:rsid w:val="006841A8"/>
    <w:rsid w:val="0068452E"/>
    <w:rsid w:val="00685095"/>
    <w:rsid w:val="00686036"/>
    <w:rsid w:val="006867D8"/>
    <w:rsid w:val="00686B22"/>
    <w:rsid w:val="006905CE"/>
    <w:rsid w:val="006914B2"/>
    <w:rsid w:val="00691FFE"/>
    <w:rsid w:val="00692A06"/>
    <w:rsid w:val="00692C32"/>
    <w:rsid w:val="00692C3D"/>
    <w:rsid w:val="0069325B"/>
    <w:rsid w:val="00693EC7"/>
    <w:rsid w:val="0069557A"/>
    <w:rsid w:val="006957AF"/>
    <w:rsid w:val="006959A6"/>
    <w:rsid w:val="00696268"/>
    <w:rsid w:val="00696F31"/>
    <w:rsid w:val="0069723A"/>
    <w:rsid w:val="00697293"/>
    <w:rsid w:val="0069764F"/>
    <w:rsid w:val="00697B0F"/>
    <w:rsid w:val="006A1C36"/>
    <w:rsid w:val="006A27CC"/>
    <w:rsid w:val="006A3A75"/>
    <w:rsid w:val="006A58EB"/>
    <w:rsid w:val="006A6846"/>
    <w:rsid w:val="006B2512"/>
    <w:rsid w:val="006B2FFD"/>
    <w:rsid w:val="006B3F68"/>
    <w:rsid w:val="006B49AD"/>
    <w:rsid w:val="006B5457"/>
    <w:rsid w:val="006B6A0C"/>
    <w:rsid w:val="006B72B4"/>
    <w:rsid w:val="006B7455"/>
    <w:rsid w:val="006C06AF"/>
    <w:rsid w:val="006C34F4"/>
    <w:rsid w:val="006C46AB"/>
    <w:rsid w:val="006C4B54"/>
    <w:rsid w:val="006C6065"/>
    <w:rsid w:val="006C7631"/>
    <w:rsid w:val="006D061C"/>
    <w:rsid w:val="006D278A"/>
    <w:rsid w:val="006D317A"/>
    <w:rsid w:val="006D4433"/>
    <w:rsid w:val="006D4EFF"/>
    <w:rsid w:val="006D4FB4"/>
    <w:rsid w:val="006D5622"/>
    <w:rsid w:val="006D56C4"/>
    <w:rsid w:val="006D585C"/>
    <w:rsid w:val="006D5DA5"/>
    <w:rsid w:val="006D632F"/>
    <w:rsid w:val="006E0163"/>
    <w:rsid w:val="006E0FB8"/>
    <w:rsid w:val="006E1592"/>
    <w:rsid w:val="006E16A1"/>
    <w:rsid w:val="006E2471"/>
    <w:rsid w:val="006E3789"/>
    <w:rsid w:val="006E3ECD"/>
    <w:rsid w:val="006E45F0"/>
    <w:rsid w:val="006E4CB3"/>
    <w:rsid w:val="006E6658"/>
    <w:rsid w:val="006E7163"/>
    <w:rsid w:val="006E7878"/>
    <w:rsid w:val="006F0976"/>
    <w:rsid w:val="006F0ABE"/>
    <w:rsid w:val="006F17C7"/>
    <w:rsid w:val="006F1B48"/>
    <w:rsid w:val="006F1D04"/>
    <w:rsid w:val="006F25C7"/>
    <w:rsid w:val="006F2794"/>
    <w:rsid w:val="006F356F"/>
    <w:rsid w:val="006F40D4"/>
    <w:rsid w:val="006F44DE"/>
    <w:rsid w:val="006F512E"/>
    <w:rsid w:val="006F51D1"/>
    <w:rsid w:val="006F55D8"/>
    <w:rsid w:val="006F58B2"/>
    <w:rsid w:val="006F5EB4"/>
    <w:rsid w:val="006F7129"/>
    <w:rsid w:val="006F765E"/>
    <w:rsid w:val="00700E66"/>
    <w:rsid w:val="0070219B"/>
    <w:rsid w:val="007030A5"/>
    <w:rsid w:val="00703624"/>
    <w:rsid w:val="00703843"/>
    <w:rsid w:val="00704ED0"/>
    <w:rsid w:val="007053B3"/>
    <w:rsid w:val="007067CA"/>
    <w:rsid w:val="0070718B"/>
    <w:rsid w:val="00707487"/>
    <w:rsid w:val="007078F7"/>
    <w:rsid w:val="00707AF7"/>
    <w:rsid w:val="00710F73"/>
    <w:rsid w:val="00710FD4"/>
    <w:rsid w:val="00711723"/>
    <w:rsid w:val="00712107"/>
    <w:rsid w:val="00712CCE"/>
    <w:rsid w:val="00714058"/>
    <w:rsid w:val="00715CF2"/>
    <w:rsid w:val="00715D10"/>
    <w:rsid w:val="0071741A"/>
    <w:rsid w:val="00717624"/>
    <w:rsid w:val="00717D1C"/>
    <w:rsid w:val="00717EE5"/>
    <w:rsid w:val="00717F99"/>
    <w:rsid w:val="007200F7"/>
    <w:rsid w:val="0072042E"/>
    <w:rsid w:val="00720781"/>
    <w:rsid w:val="00720D8B"/>
    <w:rsid w:val="00720DD0"/>
    <w:rsid w:val="00722174"/>
    <w:rsid w:val="007224D5"/>
    <w:rsid w:val="00723BB4"/>
    <w:rsid w:val="00724D7F"/>
    <w:rsid w:val="007258F6"/>
    <w:rsid w:val="00725AD9"/>
    <w:rsid w:val="00725F98"/>
    <w:rsid w:val="00726853"/>
    <w:rsid w:val="0073176A"/>
    <w:rsid w:val="00732849"/>
    <w:rsid w:val="0073298E"/>
    <w:rsid w:val="007333C4"/>
    <w:rsid w:val="0073370C"/>
    <w:rsid w:val="007355EE"/>
    <w:rsid w:val="00735F7D"/>
    <w:rsid w:val="00737624"/>
    <w:rsid w:val="007379E0"/>
    <w:rsid w:val="007400AB"/>
    <w:rsid w:val="007404D4"/>
    <w:rsid w:val="00743DCA"/>
    <w:rsid w:val="00743F44"/>
    <w:rsid w:val="00744DB1"/>
    <w:rsid w:val="00745792"/>
    <w:rsid w:val="007464CF"/>
    <w:rsid w:val="00746EA2"/>
    <w:rsid w:val="00747309"/>
    <w:rsid w:val="00750801"/>
    <w:rsid w:val="007523CD"/>
    <w:rsid w:val="00752B93"/>
    <w:rsid w:val="00752E6A"/>
    <w:rsid w:val="00754401"/>
    <w:rsid w:val="00755C9D"/>
    <w:rsid w:val="00756BC4"/>
    <w:rsid w:val="00757B9B"/>
    <w:rsid w:val="0076011E"/>
    <w:rsid w:val="00760895"/>
    <w:rsid w:val="0076139A"/>
    <w:rsid w:val="007618F8"/>
    <w:rsid w:val="00761C58"/>
    <w:rsid w:val="00765B58"/>
    <w:rsid w:val="00767706"/>
    <w:rsid w:val="00770015"/>
    <w:rsid w:val="00771D92"/>
    <w:rsid w:val="007721E3"/>
    <w:rsid w:val="00773012"/>
    <w:rsid w:val="0077311F"/>
    <w:rsid w:val="007746FD"/>
    <w:rsid w:val="00774956"/>
    <w:rsid w:val="00776357"/>
    <w:rsid w:val="007765B9"/>
    <w:rsid w:val="0077747A"/>
    <w:rsid w:val="00780CB6"/>
    <w:rsid w:val="00780F52"/>
    <w:rsid w:val="00781263"/>
    <w:rsid w:val="007837EB"/>
    <w:rsid w:val="00783B68"/>
    <w:rsid w:val="007846B9"/>
    <w:rsid w:val="00784A96"/>
    <w:rsid w:val="00784E43"/>
    <w:rsid w:val="00785286"/>
    <w:rsid w:val="00785AED"/>
    <w:rsid w:val="00785BAF"/>
    <w:rsid w:val="00786B54"/>
    <w:rsid w:val="00786D24"/>
    <w:rsid w:val="007876A7"/>
    <w:rsid w:val="00790157"/>
    <w:rsid w:val="0079136D"/>
    <w:rsid w:val="0079167C"/>
    <w:rsid w:val="00793C83"/>
    <w:rsid w:val="0079440C"/>
    <w:rsid w:val="007950A2"/>
    <w:rsid w:val="00795D01"/>
    <w:rsid w:val="00795FBA"/>
    <w:rsid w:val="00796A7F"/>
    <w:rsid w:val="007A039A"/>
    <w:rsid w:val="007A04B6"/>
    <w:rsid w:val="007A055A"/>
    <w:rsid w:val="007A0CCB"/>
    <w:rsid w:val="007A2223"/>
    <w:rsid w:val="007A2AAE"/>
    <w:rsid w:val="007A2B68"/>
    <w:rsid w:val="007A2F69"/>
    <w:rsid w:val="007A2FA0"/>
    <w:rsid w:val="007A36E6"/>
    <w:rsid w:val="007A43F8"/>
    <w:rsid w:val="007A46D2"/>
    <w:rsid w:val="007A4D05"/>
    <w:rsid w:val="007A715E"/>
    <w:rsid w:val="007A762B"/>
    <w:rsid w:val="007B0226"/>
    <w:rsid w:val="007B21A7"/>
    <w:rsid w:val="007B231F"/>
    <w:rsid w:val="007B2B29"/>
    <w:rsid w:val="007B2E41"/>
    <w:rsid w:val="007B4ABE"/>
    <w:rsid w:val="007B4EC6"/>
    <w:rsid w:val="007B6619"/>
    <w:rsid w:val="007B6FAB"/>
    <w:rsid w:val="007B7684"/>
    <w:rsid w:val="007C0323"/>
    <w:rsid w:val="007C0944"/>
    <w:rsid w:val="007C393F"/>
    <w:rsid w:val="007C4A3E"/>
    <w:rsid w:val="007C4BCA"/>
    <w:rsid w:val="007C729C"/>
    <w:rsid w:val="007D1187"/>
    <w:rsid w:val="007D139E"/>
    <w:rsid w:val="007D1AE0"/>
    <w:rsid w:val="007D2042"/>
    <w:rsid w:val="007D2E4C"/>
    <w:rsid w:val="007D439A"/>
    <w:rsid w:val="007D46B1"/>
    <w:rsid w:val="007D5970"/>
    <w:rsid w:val="007D6051"/>
    <w:rsid w:val="007D7230"/>
    <w:rsid w:val="007D73CE"/>
    <w:rsid w:val="007E0051"/>
    <w:rsid w:val="007E07B8"/>
    <w:rsid w:val="007E188E"/>
    <w:rsid w:val="007E192E"/>
    <w:rsid w:val="007E2EDE"/>
    <w:rsid w:val="007E325F"/>
    <w:rsid w:val="007E3D2E"/>
    <w:rsid w:val="007E583F"/>
    <w:rsid w:val="007E613C"/>
    <w:rsid w:val="007E7391"/>
    <w:rsid w:val="007E7518"/>
    <w:rsid w:val="007F0D2F"/>
    <w:rsid w:val="007F10F4"/>
    <w:rsid w:val="007F1347"/>
    <w:rsid w:val="007F14BC"/>
    <w:rsid w:val="007F18D8"/>
    <w:rsid w:val="007F1DBD"/>
    <w:rsid w:val="007F2DF0"/>
    <w:rsid w:val="007F3BF6"/>
    <w:rsid w:val="007F53D4"/>
    <w:rsid w:val="007F7D6E"/>
    <w:rsid w:val="008000B1"/>
    <w:rsid w:val="00800A9C"/>
    <w:rsid w:val="00801961"/>
    <w:rsid w:val="00803F51"/>
    <w:rsid w:val="0080482F"/>
    <w:rsid w:val="00804BE4"/>
    <w:rsid w:val="00804CF0"/>
    <w:rsid w:val="00804E26"/>
    <w:rsid w:val="00804EC4"/>
    <w:rsid w:val="00805AC5"/>
    <w:rsid w:val="008065C8"/>
    <w:rsid w:val="0080732A"/>
    <w:rsid w:val="00807ABC"/>
    <w:rsid w:val="00810F6F"/>
    <w:rsid w:val="00811218"/>
    <w:rsid w:val="00811724"/>
    <w:rsid w:val="00811D88"/>
    <w:rsid w:val="00812BA3"/>
    <w:rsid w:val="008139F9"/>
    <w:rsid w:val="00815A33"/>
    <w:rsid w:val="00815CD5"/>
    <w:rsid w:val="00816FB4"/>
    <w:rsid w:val="00820AE4"/>
    <w:rsid w:val="00824804"/>
    <w:rsid w:val="00825B50"/>
    <w:rsid w:val="00825FBF"/>
    <w:rsid w:val="00826ECC"/>
    <w:rsid w:val="00827722"/>
    <w:rsid w:val="00827C54"/>
    <w:rsid w:val="0083046D"/>
    <w:rsid w:val="008321BB"/>
    <w:rsid w:val="00832492"/>
    <w:rsid w:val="00832ACC"/>
    <w:rsid w:val="00834144"/>
    <w:rsid w:val="008354C1"/>
    <w:rsid w:val="00835B35"/>
    <w:rsid w:val="00837AA1"/>
    <w:rsid w:val="00837CD1"/>
    <w:rsid w:val="00837EEF"/>
    <w:rsid w:val="00840815"/>
    <w:rsid w:val="008408B0"/>
    <w:rsid w:val="0084148E"/>
    <w:rsid w:val="00841F6A"/>
    <w:rsid w:val="00842EC0"/>
    <w:rsid w:val="008435E6"/>
    <w:rsid w:val="008436EA"/>
    <w:rsid w:val="00844152"/>
    <w:rsid w:val="0084592C"/>
    <w:rsid w:val="0084729D"/>
    <w:rsid w:val="00847A1D"/>
    <w:rsid w:val="00847D6C"/>
    <w:rsid w:val="0085022C"/>
    <w:rsid w:val="0085107E"/>
    <w:rsid w:val="008512EA"/>
    <w:rsid w:val="00851330"/>
    <w:rsid w:val="00852260"/>
    <w:rsid w:val="00852374"/>
    <w:rsid w:val="00853740"/>
    <w:rsid w:val="0085465C"/>
    <w:rsid w:val="008556F7"/>
    <w:rsid w:val="008557E0"/>
    <w:rsid w:val="008577B3"/>
    <w:rsid w:val="00857E27"/>
    <w:rsid w:val="008609B6"/>
    <w:rsid w:val="00860C80"/>
    <w:rsid w:val="00861998"/>
    <w:rsid w:val="00862F1F"/>
    <w:rsid w:val="00865494"/>
    <w:rsid w:val="00865544"/>
    <w:rsid w:val="0086594C"/>
    <w:rsid w:val="00865ECB"/>
    <w:rsid w:val="00866538"/>
    <w:rsid w:val="0086737D"/>
    <w:rsid w:val="00867FE5"/>
    <w:rsid w:val="00871A13"/>
    <w:rsid w:val="00871D3F"/>
    <w:rsid w:val="00872556"/>
    <w:rsid w:val="00873318"/>
    <w:rsid w:val="00876491"/>
    <w:rsid w:val="0087657A"/>
    <w:rsid w:val="0087739E"/>
    <w:rsid w:val="00877C0C"/>
    <w:rsid w:val="00877D98"/>
    <w:rsid w:val="00880275"/>
    <w:rsid w:val="0088028B"/>
    <w:rsid w:val="00880A32"/>
    <w:rsid w:val="0088116F"/>
    <w:rsid w:val="008813E6"/>
    <w:rsid w:val="00882B83"/>
    <w:rsid w:val="008849C8"/>
    <w:rsid w:val="00885F22"/>
    <w:rsid w:val="0089184C"/>
    <w:rsid w:val="00891D08"/>
    <w:rsid w:val="00892A78"/>
    <w:rsid w:val="00892F04"/>
    <w:rsid w:val="00894727"/>
    <w:rsid w:val="008949C7"/>
    <w:rsid w:val="0089608E"/>
    <w:rsid w:val="008971B5"/>
    <w:rsid w:val="008976A3"/>
    <w:rsid w:val="008A003B"/>
    <w:rsid w:val="008A10E0"/>
    <w:rsid w:val="008A1988"/>
    <w:rsid w:val="008A222C"/>
    <w:rsid w:val="008A3D81"/>
    <w:rsid w:val="008A4CC6"/>
    <w:rsid w:val="008A54ED"/>
    <w:rsid w:val="008A6A41"/>
    <w:rsid w:val="008A7AA5"/>
    <w:rsid w:val="008A7AE7"/>
    <w:rsid w:val="008B01C3"/>
    <w:rsid w:val="008B0A61"/>
    <w:rsid w:val="008B1A08"/>
    <w:rsid w:val="008B3196"/>
    <w:rsid w:val="008B3437"/>
    <w:rsid w:val="008B700B"/>
    <w:rsid w:val="008B76CA"/>
    <w:rsid w:val="008B7EBA"/>
    <w:rsid w:val="008C044B"/>
    <w:rsid w:val="008C2040"/>
    <w:rsid w:val="008C28BF"/>
    <w:rsid w:val="008C2FFD"/>
    <w:rsid w:val="008C42A3"/>
    <w:rsid w:val="008C4BE2"/>
    <w:rsid w:val="008C6097"/>
    <w:rsid w:val="008C7ADD"/>
    <w:rsid w:val="008D0278"/>
    <w:rsid w:val="008D1317"/>
    <w:rsid w:val="008D1AFD"/>
    <w:rsid w:val="008D1E15"/>
    <w:rsid w:val="008D2C9D"/>
    <w:rsid w:val="008D2D81"/>
    <w:rsid w:val="008E020B"/>
    <w:rsid w:val="008E02C0"/>
    <w:rsid w:val="008E0E7C"/>
    <w:rsid w:val="008E16A0"/>
    <w:rsid w:val="008E1FC6"/>
    <w:rsid w:val="008E2154"/>
    <w:rsid w:val="008E2486"/>
    <w:rsid w:val="008E25FC"/>
    <w:rsid w:val="008E2639"/>
    <w:rsid w:val="008E2685"/>
    <w:rsid w:val="008E351E"/>
    <w:rsid w:val="008E536A"/>
    <w:rsid w:val="008E5475"/>
    <w:rsid w:val="008E5CEA"/>
    <w:rsid w:val="008E6212"/>
    <w:rsid w:val="008E6935"/>
    <w:rsid w:val="008E757F"/>
    <w:rsid w:val="008E79E6"/>
    <w:rsid w:val="008F0F9B"/>
    <w:rsid w:val="008F25C1"/>
    <w:rsid w:val="008F4146"/>
    <w:rsid w:val="008F46B1"/>
    <w:rsid w:val="008F46E2"/>
    <w:rsid w:val="008F4DD5"/>
    <w:rsid w:val="008F4E98"/>
    <w:rsid w:val="008F5B5B"/>
    <w:rsid w:val="008F622E"/>
    <w:rsid w:val="008F63CC"/>
    <w:rsid w:val="00900887"/>
    <w:rsid w:val="00900B20"/>
    <w:rsid w:val="009016CF"/>
    <w:rsid w:val="00902317"/>
    <w:rsid w:val="00902CEF"/>
    <w:rsid w:val="00902CFB"/>
    <w:rsid w:val="00903601"/>
    <w:rsid w:val="00903BC9"/>
    <w:rsid w:val="009041D0"/>
    <w:rsid w:val="00905512"/>
    <w:rsid w:val="00905CC0"/>
    <w:rsid w:val="00907A33"/>
    <w:rsid w:val="00907AAE"/>
    <w:rsid w:val="00907F37"/>
    <w:rsid w:val="009104AA"/>
    <w:rsid w:val="00911805"/>
    <w:rsid w:val="00915059"/>
    <w:rsid w:val="00915538"/>
    <w:rsid w:val="009157B0"/>
    <w:rsid w:val="0091589D"/>
    <w:rsid w:val="00916BCE"/>
    <w:rsid w:val="00916EAA"/>
    <w:rsid w:val="00921BEC"/>
    <w:rsid w:val="00923FB1"/>
    <w:rsid w:val="0092446A"/>
    <w:rsid w:val="00924EF2"/>
    <w:rsid w:val="009250CC"/>
    <w:rsid w:val="00925147"/>
    <w:rsid w:val="00925D1A"/>
    <w:rsid w:val="0092630F"/>
    <w:rsid w:val="00927CAE"/>
    <w:rsid w:val="00930DB4"/>
    <w:rsid w:val="009311AC"/>
    <w:rsid w:val="00934265"/>
    <w:rsid w:val="009352F2"/>
    <w:rsid w:val="0093542A"/>
    <w:rsid w:val="00936097"/>
    <w:rsid w:val="00937B3B"/>
    <w:rsid w:val="00940B66"/>
    <w:rsid w:val="0094163A"/>
    <w:rsid w:val="00942C7F"/>
    <w:rsid w:val="0094411B"/>
    <w:rsid w:val="00945011"/>
    <w:rsid w:val="00945335"/>
    <w:rsid w:val="0094569B"/>
    <w:rsid w:val="00945CE4"/>
    <w:rsid w:val="00946DD3"/>
    <w:rsid w:val="009501C9"/>
    <w:rsid w:val="009505C7"/>
    <w:rsid w:val="009508FD"/>
    <w:rsid w:val="00950DB5"/>
    <w:rsid w:val="00951495"/>
    <w:rsid w:val="009516FF"/>
    <w:rsid w:val="0095236B"/>
    <w:rsid w:val="0095287E"/>
    <w:rsid w:val="00952EBA"/>
    <w:rsid w:val="009536B5"/>
    <w:rsid w:val="00955701"/>
    <w:rsid w:val="00955CD3"/>
    <w:rsid w:val="00956D5B"/>
    <w:rsid w:val="00957260"/>
    <w:rsid w:val="0095727E"/>
    <w:rsid w:val="00960D4D"/>
    <w:rsid w:val="00961ED8"/>
    <w:rsid w:val="00964292"/>
    <w:rsid w:val="0096458E"/>
    <w:rsid w:val="00964E91"/>
    <w:rsid w:val="0096572E"/>
    <w:rsid w:val="009662EB"/>
    <w:rsid w:val="009664C4"/>
    <w:rsid w:val="00967660"/>
    <w:rsid w:val="00970A07"/>
    <w:rsid w:val="0097310D"/>
    <w:rsid w:val="00973D20"/>
    <w:rsid w:val="00973D75"/>
    <w:rsid w:val="009749C3"/>
    <w:rsid w:val="00974C0B"/>
    <w:rsid w:val="0097509C"/>
    <w:rsid w:val="00977A41"/>
    <w:rsid w:val="00977F12"/>
    <w:rsid w:val="00980A43"/>
    <w:rsid w:val="009815A1"/>
    <w:rsid w:val="00981AFC"/>
    <w:rsid w:val="00982725"/>
    <w:rsid w:val="00983252"/>
    <w:rsid w:val="0098417D"/>
    <w:rsid w:val="00986FF9"/>
    <w:rsid w:val="00987600"/>
    <w:rsid w:val="00987849"/>
    <w:rsid w:val="009902E3"/>
    <w:rsid w:val="00993D0D"/>
    <w:rsid w:val="009941A0"/>
    <w:rsid w:val="00994631"/>
    <w:rsid w:val="009954C8"/>
    <w:rsid w:val="00995B1C"/>
    <w:rsid w:val="009A2CEB"/>
    <w:rsid w:val="009A3015"/>
    <w:rsid w:val="009A33A5"/>
    <w:rsid w:val="009A412F"/>
    <w:rsid w:val="009A446E"/>
    <w:rsid w:val="009A456F"/>
    <w:rsid w:val="009A50BE"/>
    <w:rsid w:val="009A6DED"/>
    <w:rsid w:val="009A7F16"/>
    <w:rsid w:val="009B0632"/>
    <w:rsid w:val="009B0B67"/>
    <w:rsid w:val="009B0C28"/>
    <w:rsid w:val="009B12E6"/>
    <w:rsid w:val="009B17C1"/>
    <w:rsid w:val="009B2920"/>
    <w:rsid w:val="009B2D91"/>
    <w:rsid w:val="009B301A"/>
    <w:rsid w:val="009B396C"/>
    <w:rsid w:val="009B40AD"/>
    <w:rsid w:val="009B41EB"/>
    <w:rsid w:val="009B765F"/>
    <w:rsid w:val="009C0170"/>
    <w:rsid w:val="009C1347"/>
    <w:rsid w:val="009C1CD3"/>
    <w:rsid w:val="009C21B4"/>
    <w:rsid w:val="009C3322"/>
    <w:rsid w:val="009C343D"/>
    <w:rsid w:val="009C3D38"/>
    <w:rsid w:val="009C41F6"/>
    <w:rsid w:val="009C4651"/>
    <w:rsid w:val="009C4D9D"/>
    <w:rsid w:val="009C64B7"/>
    <w:rsid w:val="009C6B55"/>
    <w:rsid w:val="009C7C94"/>
    <w:rsid w:val="009D3B04"/>
    <w:rsid w:val="009D3E82"/>
    <w:rsid w:val="009E18CE"/>
    <w:rsid w:val="009E1962"/>
    <w:rsid w:val="009E19C0"/>
    <w:rsid w:val="009E2905"/>
    <w:rsid w:val="009E33E8"/>
    <w:rsid w:val="009E4279"/>
    <w:rsid w:val="009E4629"/>
    <w:rsid w:val="009E5D83"/>
    <w:rsid w:val="009E6F07"/>
    <w:rsid w:val="009F0C5F"/>
    <w:rsid w:val="009F2EF8"/>
    <w:rsid w:val="009F43F8"/>
    <w:rsid w:val="009F47DE"/>
    <w:rsid w:val="009F722D"/>
    <w:rsid w:val="00A001BC"/>
    <w:rsid w:val="00A0182D"/>
    <w:rsid w:val="00A02E07"/>
    <w:rsid w:val="00A02F9F"/>
    <w:rsid w:val="00A03B70"/>
    <w:rsid w:val="00A03D7D"/>
    <w:rsid w:val="00A04456"/>
    <w:rsid w:val="00A0528C"/>
    <w:rsid w:val="00A053BC"/>
    <w:rsid w:val="00A05A66"/>
    <w:rsid w:val="00A07CA9"/>
    <w:rsid w:val="00A10F91"/>
    <w:rsid w:val="00A11B99"/>
    <w:rsid w:val="00A11BFD"/>
    <w:rsid w:val="00A14CF3"/>
    <w:rsid w:val="00A14E83"/>
    <w:rsid w:val="00A163C6"/>
    <w:rsid w:val="00A1700B"/>
    <w:rsid w:val="00A17084"/>
    <w:rsid w:val="00A172A8"/>
    <w:rsid w:val="00A17CCF"/>
    <w:rsid w:val="00A20861"/>
    <w:rsid w:val="00A20D77"/>
    <w:rsid w:val="00A220B6"/>
    <w:rsid w:val="00A233A1"/>
    <w:rsid w:val="00A23B1D"/>
    <w:rsid w:val="00A23E0E"/>
    <w:rsid w:val="00A24B51"/>
    <w:rsid w:val="00A25696"/>
    <w:rsid w:val="00A25927"/>
    <w:rsid w:val="00A25EE0"/>
    <w:rsid w:val="00A26EB8"/>
    <w:rsid w:val="00A272F9"/>
    <w:rsid w:val="00A274DC"/>
    <w:rsid w:val="00A27D74"/>
    <w:rsid w:val="00A3314A"/>
    <w:rsid w:val="00A3514A"/>
    <w:rsid w:val="00A3592F"/>
    <w:rsid w:val="00A368BF"/>
    <w:rsid w:val="00A36B66"/>
    <w:rsid w:val="00A37F5C"/>
    <w:rsid w:val="00A41914"/>
    <w:rsid w:val="00A421AA"/>
    <w:rsid w:val="00A42FC6"/>
    <w:rsid w:val="00A43291"/>
    <w:rsid w:val="00A43E72"/>
    <w:rsid w:val="00A43EC1"/>
    <w:rsid w:val="00A43F85"/>
    <w:rsid w:val="00A44971"/>
    <w:rsid w:val="00A44C5A"/>
    <w:rsid w:val="00A45873"/>
    <w:rsid w:val="00A4607E"/>
    <w:rsid w:val="00A47CA7"/>
    <w:rsid w:val="00A506D2"/>
    <w:rsid w:val="00A50F2F"/>
    <w:rsid w:val="00A522CB"/>
    <w:rsid w:val="00A52609"/>
    <w:rsid w:val="00A52F47"/>
    <w:rsid w:val="00A5360C"/>
    <w:rsid w:val="00A552A0"/>
    <w:rsid w:val="00A574B3"/>
    <w:rsid w:val="00A574E7"/>
    <w:rsid w:val="00A5791C"/>
    <w:rsid w:val="00A57A68"/>
    <w:rsid w:val="00A60083"/>
    <w:rsid w:val="00A6143D"/>
    <w:rsid w:val="00A623DB"/>
    <w:rsid w:val="00A62AE7"/>
    <w:rsid w:val="00A636EC"/>
    <w:rsid w:val="00A63B83"/>
    <w:rsid w:val="00A640C0"/>
    <w:rsid w:val="00A65BC7"/>
    <w:rsid w:val="00A65FF1"/>
    <w:rsid w:val="00A66454"/>
    <w:rsid w:val="00A665B1"/>
    <w:rsid w:val="00A67867"/>
    <w:rsid w:val="00A67A60"/>
    <w:rsid w:val="00A67BA3"/>
    <w:rsid w:val="00A72707"/>
    <w:rsid w:val="00A72883"/>
    <w:rsid w:val="00A74983"/>
    <w:rsid w:val="00A75F76"/>
    <w:rsid w:val="00A77149"/>
    <w:rsid w:val="00A77874"/>
    <w:rsid w:val="00A77C15"/>
    <w:rsid w:val="00A80ADF"/>
    <w:rsid w:val="00A813D6"/>
    <w:rsid w:val="00A81496"/>
    <w:rsid w:val="00A81B58"/>
    <w:rsid w:val="00A824C5"/>
    <w:rsid w:val="00A827E7"/>
    <w:rsid w:val="00A828FD"/>
    <w:rsid w:val="00A83904"/>
    <w:rsid w:val="00A85073"/>
    <w:rsid w:val="00A868C0"/>
    <w:rsid w:val="00A8692F"/>
    <w:rsid w:val="00A869F8"/>
    <w:rsid w:val="00A8706B"/>
    <w:rsid w:val="00A87466"/>
    <w:rsid w:val="00A91679"/>
    <w:rsid w:val="00A919D5"/>
    <w:rsid w:val="00A91E5B"/>
    <w:rsid w:val="00A935C5"/>
    <w:rsid w:val="00A93C6E"/>
    <w:rsid w:val="00A9453E"/>
    <w:rsid w:val="00A9551D"/>
    <w:rsid w:val="00AA0744"/>
    <w:rsid w:val="00AA0EC9"/>
    <w:rsid w:val="00AA11F5"/>
    <w:rsid w:val="00AA1AD3"/>
    <w:rsid w:val="00AA1C08"/>
    <w:rsid w:val="00AA2B4D"/>
    <w:rsid w:val="00AA3792"/>
    <w:rsid w:val="00AA4835"/>
    <w:rsid w:val="00AA5862"/>
    <w:rsid w:val="00AA74B5"/>
    <w:rsid w:val="00AA7600"/>
    <w:rsid w:val="00AA7E42"/>
    <w:rsid w:val="00AB0858"/>
    <w:rsid w:val="00AB08F4"/>
    <w:rsid w:val="00AB1347"/>
    <w:rsid w:val="00AB17A3"/>
    <w:rsid w:val="00AB1BE2"/>
    <w:rsid w:val="00AB1D47"/>
    <w:rsid w:val="00AB2287"/>
    <w:rsid w:val="00AB2317"/>
    <w:rsid w:val="00AB30F9"/>
    <w:rsid w:val="00AB35CE"/>
    <w:rsid w:val="00AB37EA"/>
    <w:rsid w:val="00AB5131"/>
    <w:rsid w:val="00AB52D9"/>
    <w:rsid w:val="00AB6888"/>
    <w:rsid w:val="00AB6D6D"/>
    <w:rsid w:val="00AB6F38"/>
    <w:rsid w:val="00AB713E"/>
    <w:rsid w:val="00AB77CF"/>
    <w:rsid w:val="00AC0FAF"/>
    <w:rsid w:val="00AC1542"/>
    <w:rsid w:val="00AC3164"/>
    <w:rsid w:val="00AC3342"/>
    <w:rsid w:val="00AC355C"/>
    <w:rsid w:val="00AC3F17"/>
    <w:rsid w:val="00AC5AD5"/>
    <w:rsid w:val="00AC6450"/>
    <w:rsid w:val="00AC65FF"/>
    <w:rsid w:val="00AC67FB"/>
    <w:rsid w:val="00AC7A7B"/>
    <w:rsid w:val="00AD1F8E"/>
    <w:rsid w:val="00AD2313"/>
    <w:rsid w:val="00AD41C6"/>
    <w:rsid w:val="00AD4781"/>
    <w:rsid w:val="00AD49DE"/>
    <w:rsid w:val="00AD53B3"/>
    <w:rsid w:val="00AD59C2"/>
    <w:rsid w:val="00AD6797"/>
    <w:rsid w:val="00AD7408"/>
    <w:rsid w:val="00AE0856"/>
    <w:rsid w:val="00AE11FB"/>
    <w:rsid w:val="00AE1B7D"/>
    <w:rsid w:val="00AE2D19"/>
    <w:rsid w:val="00AE3528"/>
    <w:rsid w:val="00AE4A39"/>
    <w:rsid w:val="00AE4B3B"/>
    <w:rsid w:val="00AE5B83"/>
    <w:rsid w:val="00AE5F5B"/>
    <w:rsid w:val="00AE6822"/>
    <w:rsid w:val="00AE6CB7"/>
    <w:rsid w:val="00AE7C6D"/>
    <w:rsid w:val="00AF074A"/>
    <w:rsid w:val="00AF0D6C"/>
    <w:rsid w:val="00AF220F"/>
    <w:rsid w:val="00AF2497"/>
    <w:rsid w:val="00AF32C9"/>
    <w:rsid w:val="00AF41AF"/>
    <w:rsid w:val="00AF52D0"/>
    <w:rsid w:val="00AF538A"/>
    <w:rsid w:val="00AF6BDD"/>
    <w:rsid w:val="00AF6DDB"/>
    <w:rsid w:val="00AF7E8D"/>
    <w:rsid w:val="00B00E0D"/>
    <w:rsid w:val="00B024C1"/>
    <w:rsid w:val="00B0274D"/>
    <w:rsid w:val="00B02DF4"/>
    <w:rsid w:val="00B0385B"/>
    <w:rsid w:val="00B03B0B"/>
    <w:rsid w:val="00B0453D"/>
    <w:rsid w:val="00B053CC"/>
    <w:rsid w:val="00B0540A"/>
    <w:rsid w:val="00B06347"/>
    <w:rsid w:val="00B07CAC"/>
    <w:rsid w:val="00B1022D"/>
    <w:rsid w:val="00B104C7"/>
    <w:rsid w:val="00B108F5"/>
    <w:rsid w:val="00B10F18"/>
    <w:rsid w:val="00B11552"/>
    <w:rsid w:val="00B119C4"/>
    <w:rsid w:val="00B11AC3"/>
    <w:rsid w:val="00B12284"/>
    <w:rsid w:val="00B12C6A"/>
    <w:rsid w:val="00B13804"/>
    <w:rsid w:val="00B1421E"/>
    <w:rsid w:val="00B14799"/>
    <w:rsid w:val="00B14AC7"/>
    <w:rsid w:val="00B15414"/>
    <w:rsid w:val="00B16473"/>
    <w:rsid w:val="00B166AD"/>
    <w:rsid w:val="00B2042A"/>
    <w:rsid w:val="00B211A2"/>
    <w:rsid w:val="00B218D8"/>
    <w:rsid w:val="00B21E60"/>
    <w:rsid w:val="00B22725"/>
    <w:rsid w:val="00B22779"/>
    <w:rsid w:val="00B22ABA"/>
    <w:rsid w:val="00B2310C"/>
    <w:rsid w:val="00B2338E"/>
    <w:rsid w:val="00B23805"/>
    <w:rsid w:val="00B23CB3"/>
    <w:rsid w:val="00B24439"/>
    <w:rsid w:val="00B248D4"/>
    <w:rsid w:val="00B257A8"/>
    <w:rsid w:val="00B2595E"/>
    <w:rsid w:val="00B25AD7"/>
    <w:rsid w:val="00B26478"/>
    <w:rsid w:val="00B3029B"/>
    <w:rsid w:val="00B30428"/>
    <w:rsid w:val="00B30BEF"/>
    <w:rsid w:val="00B32333"/>
    <w:rsid w:val="00B3299D"/>
    <w:rsid w:val="00B343C3"/>
    <w:rsid w:val="00B34C3A"/>
    <w:rsid w:val="00B34D2A"/>
    <w:rsid w:val="00B42E50"/>
    <w:rsid w:val="00B438D7"/>
    <w:rsid w:val="00B43932"/>
    <w:rsid w:val="00B44052"/>
    <w:rsid w:val="00B466E3"/>
    <w:rsid w:val="00B46A26"/>
    <w:rsid w:val="00B47BD9"/>
    <w:rsid w:val="00B509FE"/>
    <w:rsid w:val="00B5119B"/>
    <w:rsid w:val="00B511BC"/>
    <w:rsid w:val="00B51EA2"/>
    <w:rsid w:val="00B52CE1"/>
    <w:rsid w:val="00B53063"/>
    <w:rsid w:val="00B53457"/>
    <w:rsid w:val="00B542CB"/>
    <w:rsid w:val="00B54763"/>
    <w:rsid w:val="00B55400"/>
    <w:rsid w:val="00B55CD5"/>
    <w:rsid w:val="00B56AD8"/>
    <w:rsid w:val="00B61226"/>
    <w:rsid w:val="00B61422"/>
    <w:rsid w:val="00B61592"/>
    <w:rsid w:val="00B61A4A"/>
    <w:rsid w:val="00B64170"/>
    <w:rsid w:val="00B6543E"/>
    <w:rsid w:val="00B65783"/>
    <w:rsid w:val="00B666EE"/>
    <w:rsid w:val="00B66951"/>
    <w:rsid w:val="00B679E4"/>
    <w:rsid w:val="00B70665"/>
    <w:rsid w:val="00B721BB"/>
    <w:rsid w:val="00B724C4"/>
    <w:rsid w:val="00B72588"/>
    <w:rsid w:val="00B725B0"/>
    <w:rsid w:val="00B72CCC"/>
    <w:rsid w:val="00B72ED8"/>
    <w:rsid w:val="00B73198"/>
    <w:rsid w:val="00B7442F"/>
    <w:rsid w:val="00B74F32"/>
    <w:rsid w:val="00B769A0"/>
    <w:rsid w:val="00B76B10"/>
    <w:rsid w:val="00B76B1A"/>
    <w:rsid w:val="00B7742A"/>
    <w:rsid w:val="00B807E3"/>
    <w:rsid w:val="00B813CC"/>
    <w:rsid w:val="00B81652"/>
    <w:rsid w:val="00B823DD"/>
    <w:rsid w:val="00B825A0"/>
    <w:rsid w:val="00B82791"/>
    <w:rsid w:val="00B82EEE"/>
    <w:rsid w:val="00B83485"/>
    <w:rsid w:val="00B839DC"/>
    <w:rsid w:val="00B849EA"/>
    <w:rsid w:val="00B84F5F"/>
    <w:rsid w:val="00B851F7"/>
    <w:rsid w:val="00B86289"/>
    <w:rsid w:val="00B87FDC"/>
    <w:rsid w:val="00B9072B"/>
    <w:rsid w:val="00B915DD"/>
    <w:rsid w:val="00B91C28"/>
    <w:rsid w:val="00B92BAE"/>
    <w:rsid w:val="00B9337F"/>
    <w:rsid w:val="00B95376"/>
    <w:rsid w:val="00B963F5"/>
    <w:rsid w:val="00B96FAB"/>
    <w:rsid w:val="00B979FC"/>
    <w:rsid w:val="00BA1AF5"/>
    <w:rsid w:val="00BA1D96"/>
    <w:rsid w:val="00BA1E37"/>
    <w:rsid w:val="00BA542A"/>
    <w:rsid w:val="00BA570D"/>
    <w:rsid w:val="00BA7653"/>
    <w:rsid w:val="00BB0883"/>
    <w:rsid w:val="00BB0897"/>
    <w:rsid w:val="00BB3330"/>
    <w:rsid w:val="00BB3DC4"/>
    <w:rsid w:val="00BB40A7"/>
    <w:rsid w:val="00BB4BC3"/>
    <w:rsid w:val="00BB4CDD"/>
    <w:rsid w:val="00BB567E"/>
    <w:rsid w:val="00BB6104"/>
    <w:rsid w:val="00BB6261"/>
    <w:rsid w:val="00BB65D9"/>
    <w:rsid w:val="00BB6897"/>
    <w:rsid w:val="00BB6DC7"/>
    <w:rsid w:val="00BB6DDD"/>
    <w:rsid w:val="00BB710B"/>
    <w:rsid w:val="00BB73D3"/>
    <w:rsid w:val="00BC007A"/>
    <w:rsid w:val="00BC1189"/>
    <w:rsid w:val="00BC1664"/>
    <w:rsid w:val="00BC1B33"/>
    <w:rsid w:val="00BC2999"/>
    <w:rsid w:val="00BC31EA"/>
    <w:rsid w:val="00BC4C08"/>
    <w:rsid w:val="00BC4F4D"/>
    <w:rsid w:val="00BC521C"/>
    <w:rsid w:val="00BC5305"/>
    <w:rsid w:val="00BC5AA9"/>
    <w:rsid w:val="00BC6E34"/>
    <w:rsid w:val="00BC6E85"/>
    <w:rsid w:val="00BC77F1"/>
    <w:rsid w:val="00BD016F"/>
    <w:rsid w:val="00BD0AB5"/>
    <w:rsid w:val="00BD0BE5"/>
    <w:rsid w:val="00BD0DC3"/>
    <w:rsid w:val="00BD1704"/>
    <w:rsid w:val="00BD2429"/>
    <w:rsid w:val="00BD2BB6"/>
    <w:rsid w:val="00BD3463"/>
    <w:rsid w:val="00BD39CA"/>
    <w:rsid w:val="00BD4B3B"/>
    <w:rsid w:val="00BD4C7F"/>
    <w:rsid w:val="00BD5D0C"/>
    <w:rsid w:val="00BD620D"/>
    <w:rsid w:val="00BD6CB0"/>
    <w:rsid w:val="00BE0BD8"/>
    <w:rsid w:val="00BE1E25"/>
    <w:rsid w:val="00BE2B48"/>
    <w:rsid w:val="00BE2E84"/>
    <w:rsid w:val="00BE3F7D"/>
    <w:rsid w:val="00BE43E8"/>
    <w:rsid w:val="00BE5ADE"/>
    <w:rsid w:val="00BE6F42"/>
    <w:rsid w:val="00BE7733"/>
    <w:rsid w:val="00BF1D77"/>
    <w:rsid w:val="00BF2144"/>
    <w:rsid w:val="00BF2447"/>
    <w:rsid w:val="00BF24FA"/>
    <w:rsid w:val="00BF4744"/>
    <w:rsid w:val="00BF7E3E"/>
    <w:rsid w:val="00C0171D"/>
    <w:rsid w:val="00C027C3"/>
    <w:rsid w:val="00C048D9"/>
    <w:rsid w:val="00C049B6"/>
    <w:rsid w:val="00C06162"/>
    <w:rsid w:val="00C068A1"/>
    <w:rsid w:val="00C0771E"/>
    <w:rsid w:val="00C07F6C"/>
    <w:rsid w:val="00C10B3A"/>
    <w:rsid w:val="00C11C03"/>
    <w:rsid w:val="00C12E8A"/>
    <w:rsid w:val="00C131AD"/>
    <w:rsid w:val="00C14B16"/>
    <w:rsid w:val="00C14BEA"/>
    <w:rsid w:val="00C17D36"/>
    <w:rsid w:val="00C208FB"/>
    <w:rsid w:val="00C2132B"/>
    <w:rsid w:val="00C214C9"/>
    <w:rsid w:val="00C22243"/>
    <w:rsid w:val="00C2401B"/>
    <w:rsid w:val="00C2432D"/>
    <w:rsid w:val="00C2583E"/>
    <w:rsid w:val="00C2610B"/>
    <w:rsid w:val="00C26677"/>
    <w:rsid w:val="00C27480"/>
    <w:rsid w:val="00C307ED"/>
    <w:rsid w:val="00C337BB"/>
    <w:rsid w:val="00C342FB"/>
    <w:rsid w:val="00C34E4F"/>
    <w:rsid w:val="00C354A9"/>
    <w:rsid w:val="00C36094"/>
    <w:rsid w:val="00C36284"/>
    <w:rsid w:val="00C36DE3"/>
    <w:rsid w:val="00C40F17"/>
    <w:rsid w:val="00C41EC6"/>
    <w:rsid w:val="00C4257D"/>
    <w:rsid w:val="00C42F84"/>
    <w:rsid w:val="00C43885"/>
    <w:rsid w:val="00C43BEC"/>
    <w:rsid w:val="00C44687"/>
    <w:rsid w:val="00C457CB"/>
    <w:rsid w:val="00C46566"/>
    <w:rsid w:val="00C512D0"/>
    <w:rsid w:val="00C51F03"/>
    <w:rsid w:val="00C53BBD"/>
    <w:rsid w:val="00C54DBD"/>
    <w:rsid w:val="00C54DC0"/>
    <w:rsid w:val="00C55BA1"/>
    <w:rsid w:val="00C56A3B"/>
    <w:rsid w:val="00C56BEC"/>
    <w:rsid w:val="00C57295"/>
    <w:rsid w:val="00C5771D"/>
    <w:rsid w:val="00C60ED7"/>
    <w:rsid w:val="00C6109D"/>
    <w:rsid w:val="00C61442"/>
    <w:rsid w:val="00C616D4"/>
    <w:rsid w:val="00C61EF2"/>
    <w:rsid w:val="00C628B0"/>
    <w:rsid w:val="00C6361A"/>
    <w:rsid w:val="00C64682"/>
    <w:rsid w:val="00C65499"/>
    <w:rsid w:val="00C66497"/>
    <w:rsid w:val="00C678DE"/>
    <w:rsid w:val="00C679AE"/>
    <w:rsid w:val="00C67D9A"/>
    <w:rsid w:val="00C70A9D"/>
    <w:rsid w:val="00C70E24"/>
    <w:rsid w:val="00C70E47"/>
    <w:rsid w:val="00C71347"/>
    <w:rsid w:val="00C73218"/>
    <w:rsid w:val="00C778C6"/>
    <w:rsid w:val="00C77FBE"/>
    <w:rsid w:val="00C8182A"/>
    <w:rsid w:val="00C82382"/>
    <w:rsid w:val="00C8262B"/>
    <w:rsid w:val="00C83501"/>
    <w:rsid w:val="00C84B01"/>
    <w:rsid w:val="00C84F35"/>
    <w:rsid w:val="00C84FC8"/>
    <w:rsid w:val="00C8540D"/>
    <w:rsid w:val="00C86BE7"/>
    <w:rsid w:val="00C86EC2"/>
    <w:rsid w:val="00C910FD"/>
    <w:rsid w:val="00C92D2C"/>
    <w:rsid w:val="00C92EBC"/>
    <w:rsid w:val="00C93C16"/>
    <w:rsid w:val="00C93D42"/>
    <w:rsid w:val="00C9581B"/>
    <w:rsid w:val="00C95BB5"/>
    <w:rsid w:val="00C97412"/>
    <w:rsid w:val="00CA1461"/>
    <w:rsid w:val="00CA17AB"/>
    <w:rsid w:val="00CA22E9"/>
    <w:rsid w:val="00CA27EA"/>
    <w:rsid w:val="00CA3E01"/>
    <w:rsid w:val="00CA5BFA"/>
    <w:rsid w:val="00CA6F80"/>
    <w:rsid w:val="00CA756C"/>
    <w:rsid w:val="00CA7D91"/>
    <w:rsid w:val="00CB1752"/>
    <w:rsid w:val="00CB1BA5"/>
    <w:rsid w:val="00CB20C9"/>
    <w:rsid w:val="00CB2A19"/>
    <w:rsid w:val="00CB2C2C"/>
    <w:rsid w:val="00CB3183"/>
    <w:rsid w:val="00CB389F"/>
    <w:rsid w:val="00CB6530"/>
    <w:rsid w:val="00CB66AF"/>
    <w:rsid w:val="00CB67DF"/>
    <w:rsid w:val="00CC0A83"/>
    <w:rsid w:val="00CC1869"/>
    <w:rsid w:val="00CC1CCF"/>
    <w:rsid w:val="00CC2B17"/>
    <w:rsid w:val="00CC360B"/>
    <w:rsid w:val="00CC5479"/>
    <w:rsid w:val="00CC6069"/>
    <w:rsid w:val="00CC654A"/>
    <w:rsid w:val="00CC74FC"/>
    <w:rsid w:val="00CC7731"/>
    <w:rsid w:val="00CC7F31"/>
    <w:rsid w:val="00CD1719"/>
    <w:rsid w:val="00CD1D2A"/>
    <w:rsid w:val="00CD1DFE"/>
    <w:rsid w:val="00CD21AF"/>
    <w:rsid w:val="00CD27FD"/>
    <w:rsid w:val="00CD2E53"/>
    <w:rsid w:val="00CD3384"/>
    <w:rsid w:val="00CD4EF5"/>
    <w:rsid w:val="00CD769D"/>
    <w:rsid w:val="00CE0E7A"/>
    <w:rsid w:val="00CE1AC8"/>
    <w:rsid w:val="00CE1B87"/>
    <w:rsid w:val="00CE2B0D"/>
    <w:rsid w:val="00CE341B"/>
    <w:rsid w:val="00CE3566"/>
    <w:rsid w:val="00CE3D75"/>
    <w:rsid w:val="00CE663E"/>
    <w:rsid w:val="00CE739F"/>
    <w:rsid w:val="00CE7537"/>
    <w:rsid w:val="00CE79E6"/>
    <w:rsid w:val="00CE7BC4"/>
    <w:rsid w:val="00CF0597"/>
    <w:rsid w:val="00CF0707"/>
    <w:rsid w:val="00CF0FFA"/>
    <w:rsid w:val="00CF1089"/>
    <w:rsid w:val="00CF1CA5"/>
    <w:rsid w:val="00CF2028"/>
    <w:rsid w:val="00CF2897"/>
    <w:rsid w:val="00CF3D1E"/>
    <w:rsid w:val="00CF3FB8"/>
    <w:rsid w:val="00CF45AC"/>
    <w:rsid w:val="00CF4B8F"/>
    <w:rsid w:val="00CF57E2"/>
    <w:rsid w:val="00CF5E5E"/>
    <w:rsid w:val="00CF6214"/>
    <w:rsid w:val="00CF629F"/>
    <w:rsid w:val="00CF6E5E"/>
    <w:rsid w:val="00D007DA"/>
    <w:rsid w:val="00D01E0A"/>
    <w:rsid w:val="00D026D3"/>
    <w:rsid w:val="00D02917"/>
    <w:rsid w:val="00D035A2"/>
    <w:rsid w:val="00D0467E"/>
    <w:rsid w:val="00D04922"/>
    <w:rsid w:val="00D04E17"/>
    <w:rsid w:val="00D058F4"/>
    <w:rsid w:val="00D068DC"/>
    <w:rsid w:val="00D072F0"/>
    <w:rsid w:val="00D112E6"/>
    <w:rsid w:val="00D11477"/>
    <w:rsid w:val="00D11A24"/>
    <w:rsid w:val="00D11B12"/>
    <w:rsid w:val="00D120FA"/>
    <w:rsid w:val="00D125B8"/>
    <w:rsid w:val="00D12843"/>
    <w:rsid w:val="00D12C14"/>
    <w:rsid w:val="00D12EE3"/>
    <w:rsid w:val="00D12EEB"/>
    <w:rsid w:val="00D14ECD"/>
    <w:rsid w:val="00D16417"/>
    <w:rsid w:val="00D16CBA"/>
    <w:rsid w:val="00D173EE"/>
    <w:rsid w:val="00D1742E"/>
    <w:rsid w:val="00D17A71"/>
    <w:rsid w:val="00D20081"/>
    <w:rsid w:val="00D2103F"/>
    <w:rsid w:val="00D214A7"/>
    <w:rsid w:val="00D21612"/>
    <w:rsid w:val="00D21A00"/>
    <w:rsid w:val="00D22D59"/>
    <w:rsid w:val="00D230D9"/>
    <w:rsid w:val="00D2366C"/>
    <w:rsid w:val="00D23C99"/>
    <w:rsid w:val="00D258E6"/>
    <w:rsid w:val="00D30268"/>
    <w:rsid w:val="00D30B6E"/>
    <w:rsid w:val="00D33757"/>
    <w:rsid w:val="00D33C7E"/>
    <w:rsid w:val="00D34037"/>
    <w:rsid w:val="00D34C3A"/>
    <w:rsid w:val="00D352F1"/>
    <w:rsid w:val="00D35BCF"/>
    <w:rsid w:val="00D35C6F"/>
    <w:rsid w:val="00D36401"/>
    <w:rsid w:val="00D36D6F"/>
    <w:rsid w:val="00D37112"/>
    <w:rsid w:val="00D3794F"/>
    <w:rsid w:val="00D40D4F"/>
    <w:rsid w:val="00D41EEC"/>
    <w:rsid w:val="00D4384C"/>
    <w:rsid w:val="00D440D4"/>
    <w:rsid w:val="00D44AE8"/>
    <w:rsid w:val="00D44F57"/>
    <w:rsid w:val="00D4505F"/>
    <w:rsid w:val="00D46C4E"/>
    <w:rsid w:val="00D4766A"/>
    <w:rsid w:val="00D47C65"/>
    <w:rsid w:val="00D500E9"/>
    <w:rsid w:val="00D51542"/>
    <w:rsid w:val="00D52D8C"/>
    <w:rsid w:val="00D546C2"/>
    <w:rsid w:val="00D54CCE"/>
    <w:rsid w:val="00D54FFA"/>
    <w:rsid w:val="00D5600D"/>
    <w:rsid w:val="00D5678A"/>
    <w:rsid w:val="00D568D7"/>
    <w:rsid w:val="00D56B99"/>
    <w:rsid w:val="00D604CB"/>
    <w:rsid w:val="00D60963"/>
    <w:rsid w:val="00D61CC9"/>
    <w:rsid w:val="00D633CC"/>
    <w:rsid w:val="00D6398C"/>
    <w:rsid w:val="00D658CC"/>
    <w:rsid w:val="00D6680D"/>
    <w:rsid w:val="00D6696F"/>
    <w:rsid w:val="00D6757D"/>
    <w:rsid w:val="00D67A98"/>
    <w:rsid w:val="00D67E47"/>
    <w:rsid w:val="00D710A9"/>
    <w:rsid w:val="00D71145"/>
    <w:rsid w:val="00D722AD"/>
    <w:rsid w:val="00D72A39"/>
    <w:rsid w:val="00D72FA5"/>
    <w:rsid w:val="00D73B4D"/>
    <w:rsid w:val="00D74223"/>
    <w:rsid w:val="00D74793"/>
    <w:rsid w:val="00D767F0"/>
    <w:rsid w:val="00D7702A"/>
    <w:rsid w:val="00D81D68"/>
    <w:rsid w:val="00D82AF0"/>
    <w:rsid w:val="00D83E80"/>
    <w:rsid w:val="00D85E90"/>
    <w:rsid w:val="00D86240"/>
    <w:rsid w:val="00D868BC"/>
    <w:rsid w:val="00D86E86"/>
    <w:rsid w:val="00D900B4"/>
    <w:rsid w:val="00D903C5"/>
    <w:rsid w:val="00D90714"/>
    <w:rsid w:val="00D9188C"/>
    <w:rsid w:val="00D9197F"/>
    <w:rsid w:val="00D91E91"/>
    <w:rsid w:val="00D92AB7"/>
    <w:rsid w:val="00D93F79"/>
    <w:rsid w:val="00D948F8"/>
    <w:rsid w:val="00D9619D"/>
    <w:rsid w:val="00D96F75"/>
    <w:rsid w:val="00D971DC"/>
    <w:rsid w:val="00DA06B5"/>
    <w:rsid w:val="00DA07F0"/>
    <w:rsid w:val="00DA28FC"/>
    <w:rsid w:val="00DA2AE4"/>
    <w:rsid w:val="00DA2D31"/>
    <w:rsid w:val="00DA3A05"/>
    <w:rsid w:val="00DA45FD"/>
    <w:rsid w:val="00DA60D8"/>
    <w:rsid w:val="00DA7498"/>
    <w:rsid w:val="00DA7959"/>
    <w:rsid w:val="00DA7CBA"/>
    <w:rsid w:val="00DB0274"/>
    <w:rsid w:val="00DB05A3"/>
    <w:rsid w:val="00DB0756"/>
    <w:rsid w:val="00DB21CF"/>
    <w:rsid w:val="00DB5F62"/>
    <w:rsid w:val="00DB70E3"/>
    <w:rsid w:val="00DB755E"/>
    <w:rsid w:val="00DC21C0"/>
    <w:rsid w:val="00DC24BF"/>
    <w:rsid w:val="00DC2784"/>
    <w:rsid w:val="00DC5523"/>
    <w:rsid w:val="00DD0EA9"/>
    <w:rsid w:val="00DD17AE"/>
    <w:rsid w:val="00DD1A7A"/>
    <w:rsid w:val="00DD4360"/>
    <w:rsid w:val="00DD4488"/>
    <w:rsid w:val="00DD49E4"/>
    <w:rsid w:val="00DD5630"/>
    <w:rsid w:val="00DD6E16"/>
    <w:rsid w:val="00DD7433"/>
    <w:rsid w:val="00DD7CD2"/>
    <w:rsid w:val="00DE165A"/>
    <w:rsid w:val="00DE22CB"/>
    <w:rsid w:val="00DE2B52"/>
    <w:rsid w:val="00DE2C59"/>
    <w:rsid w:val="00DE3E4F"/>
    <w:rsid w:val="00DE4B1D"/>
    <w:rsid w:val="00DE52BC"/>
    <w:rsid w:val="00DE5F51"/>
    <w:rsid w:val="00DE79CA"/>
    <w:rsid w:val="00DF1447"/>
    <w:rsid w:val="00DF2892"/>
    <w:rsid w:val="00DF2A8D"/>
    <w:rsid w:val="00DF2ADA"/>
    <w:rsid w:val="00DF37F3"/>
    <w:rsid w:val="00DF442F"/>
    <w:rsid w:val="00DF4B8C"/>
    <w:rsid w:val="00DF502D"/>
    <w:rsid w:val="00DF615F"/>
    <w:rsid w:val="00DF6BA7"/>
    <w:rsid w:val="00DF6C1D"/>
    <w:rsid w:val="00DF7207"/>
    <w:rsid w:val="00DF7873"/>
    <w:rsid w:val="00E00FFA"/>
    <w:rsid w:val="00E02A87"/>
    <w:rsid w:val="00E041A9"/>
    <w:rsid w:val="00E045FE"/>
    <w:rsid w:val="00E04D3F"/>
    <w:rsid w:val="00E07192"/>
    <w:rsid w:val="00E10B56"/>
    <w:rsid w:val="00E12564"/>
    <w:rsid w:val="00E129FE"/>
    <w:rsid w:val="00E139B2"/>
    <w:rsid w:val="00E13AC8"/>
    <w:rsid w:val="00E15209"/>
    <w:rsid w:val="00E1572C"/>
    <w:rsid w:val="00E175FC"/>
    <w:rsid w:val="00E20095"/>
    <w:rsid w:val="00E20D81"/>
    <w:rsid w:val="00E212F8"/>
    <w:rsid w:val="00E21768"/>
    <w:rsid w:val="00E219BB"/>
    <w:rsid w:val="00E220B6"/>
    <w:rsid w:val="00E229AB"/>
    <w:rsid w:val="00E230F1"/>
    <w:rsid w:val="00E23E91"/>
    <w:rsid w:val="00E24ECA"/>
    <w:rsid w:val="00E26919"/>
    <w:rsid w:val="00E27D64"/>
    <w:rsid w:val="00E30A34"/>
    <w:rsid w:val="00E30DA2"/>
    <w:rsid w:val="00E3112E"/>
    <w:rsid w:val="00E3139C"/>
    <w:rsid w:val="00E31460"/>
    <w:rsid w:val="00E31A1B"/>
    <w:rsid w:val="00E32498"/>
    <w:rsid w:val="00E3368A"/>
    <w:rsid w:val="00E34607"/>
    <w:rsid w:val="00E35AFE"/>
    <w:rsid w:val="00E35E8B"/>
    <w:rsid w:val="00E36A97"/>
    <w:rsid w:val="00E37098"/>
    <w:rsid w:val="00E3771F"/>
    <w:rsid w:val="00E37D00"/>
    <w:rsid w:val="00E4016A"/>
    <w:rsid w:val="00E40768"/>
    <w:rsid w:val="00E40CDF"/>
    <w:rsid w:val="00E42050"/>
    <w:rsid w:val="00E432DD"/>
    <w:rsid w:val="00E455B9"/>
    <w:rsid w:val="00E46AB6"/>
    <w:rsid w:val="00E46E3E"/>
    <w:rsid w:val="00E5094B"/>
    <w:rsid w:val="00E50AA5"/>
    <w:rsid w:val="00E50B1D"/>
    <w:rsid w:val="00E5114D"/>
    <w:rsid w:val="00E513F0"/>
    <w:rsid w:val="00E517A5"/>
    <w:rsid w:val="00E52300"/>
    <w:rsid w:val="00E52C97"/>
    <w:rsid w:val="00E53B2C"/>
    <w:rsid w:val="00E54AF6"/>
    <w:rsid w:val="00E54F3E"/>
    <w:rsid w:val="00E60554"/>
    <w:rsid w:val="00E60D8D"/>
    <w:rsid w:val="00E61A41"/>
    <w:rsid w:val="00E61B65"/>
    <w:rsid w:val="00E635ED"/>
    <w:rsid w:val="00E63CEA"/>
    <w:rsid w:val="00E641ED"/>
    <w:rsid w:val="00E64EE2"/>
    <w:rsid w:val="00E657EB"/>
    <w:rsid w:val="00E66661"/>
    <w:rsid w:val="00E66ECB"/>
    <w:rsid w:val="00E6744F"/>
    <w:rsid w:val="00E67760"/>
    <w:rsid w:val="00E7033B"/>
    <w:rsid w:val="00E70561"/>
    <w:rsid w:val="00E715E1"/>
    <w:rsid w:val="00E71B85"/>
    <w:rsid w:val="00E723EE"/>
    <w:rsid w:val="00E728CD"/>
    <w:rsid w:val="00E72A69"/>
    <w:rsid w:val="00E75990"/>
    <w:rsid w:val="00E762D8"/>
    <w:rsid w:val="00E76AE7"/>
    <w:rsid w:val="00E800A7"/>
    <w:rsid w:val="00E81026"/>
    <w:rsid w:val="00E822CB"/>
    <w:rsid w:val="00E829F0"/>
    <w:rsid w:val="00E839D9"/>
    <w:rsid w:val="00E845EA"/>
    <w:rsid w:val="00E84AB1"/>
    <w:rsid w:val="00E84E9D"/>
    <w:rsid w:val="00E84ECE"/>
    <w:rsid w:val="00E85039"/>
    <w:rsid w:val="00E85150"/>
    <w:rsid w:val="00E8627B"/>
    <w:rsid w:val="00E8675F"/>
    <w:rsid w:val="00E87149"/>
    <w:rsid w:val="00E87532"/>
    <w:rsid w:val="00E87E2D"/>
    <w:rsid w:val="00E90741"/>
    <w:rsid w:val="00E9112D"/>
    <w:rsid w:val="00E9424B"/>
    <w:rsid w:val="00E95902"/>
    <w:rsid w:val="00E96470"/>
    <w:rsid w:val="00E969D7"/>
    <w:rsid w:val="00EA034E"/>
    <w:rsid w:val="00EA048E"/>
    <w:rsid w:val="00EA0611"/>
    <w:rsid w:val="00EA0B35"/>
    <w:rsid w:val="00EA0CC4"/>
    <w:rsid w:val="00EA1755"/>
    <w:rsid w:val="00EA1B82"/>
    <w:rsid w:val="00EA229B"/>
    <w:rsid w:val="00EA27C1"/>
    <w:rsid w:val="00EA4551"/>
    <w:rsid w:val="00EA464C"/>
    <w:rsid w:val="00EA6013"/>
    <w:rsid w:val="00EA7BCF"/>
    <w:rsid w:val="00EB00D9"/>
    <w:rsid w:val="00EB1224"/>
    <w:rsid w:val="00EB2E02"/>
    <w:rsid w:val="00EB42ED"/>
    <w:rsid w:val="00EB5DD6"/>
    <w:rsid w:val="00EB6CD5"/>
    <w:rsid w:val="00EB7632"/>
    <w:rsid w:val="00EC049C"/>
    <w:rsid w:val="00EC05F5"/>
    <w:rsid w:val="00EC07FA"/>
    <w:rsid w:val="00EC0CE1"/>
    <w:rsid w:val="00EC1BA0"/>
    <w:rsid w:val="00EC1F1D"/>
    <w:rsid w:val="00EC4551"/>
    <w:rsid w:val="00EC6506"/>
    <w:rsid w:val="00EC6FCE"/>
    <w:rsid w:val="00EC77AC"/>
    <w:rsid w:val="00EC78D3"/>
    <w:rsid w:val="00ED26F7"/>
    <w:rsid w:val="00ED2F2A"/>
    <w:rsid w:val="00ED38F9"/>
    <w:rsid w:val="00ED46C4"/>
    <w:rsid w:val="00ED48C2"/>
    <w:rsid w:val="00ED4E24"/>
    <w:rsid w:val="00ED5BF4"/>
    <w:rsid w:val="00ED6674"/>
    <w:rsid w:val="00ED7441"/>
    <w:rsid w:val="00ED75E3"/>
    <w:rsid w:val="00ED77A7"/>
    <w:rsid w:val="00EE012B"/>
    <w:rsid w:val="00EE03BB"/>
    <w:rsid w:val="00EE05C3"/>
    <w:rsid w:val="00EE0C67"/>
    <w:rsid w:val="00EE1051"/>
    <w:rsid w:val="00EE1A51"/>
    <w:rsid w:val="00EE1CDD"/>
    <w:rsid w:val="00EE433C"/>
    <w:rsid w:val="00EE4614"/>
    <w:rsid w:val="00EE613D"/>
    <w:rsid w:val="00EE6E73"/>
    <w:rsid w:val="00EE71E4"/>
    <w:rsid w:val="00EE7414"/>
    <w:rsid w:val="00EF02E9"/>
    <w:rsid w:val="00EF20B1"/>
    <w:rsid w:val="00EF3189"/>
    <w:rsid w:val="00EF3C6B"/>
    <w:rsid w:val="00EF5120"/>
    <w:rsid w:val="00EF5EBE"/>
    <w:rsid w:val="00EF63CE"/>
    <w:rsid w:val="00EF6B90"/>
    <w:rsid w:val="00F0021A"/>
    <w:rsid w:val="00F00DF2"/>
    <w:rsid w:val="00F00FD6"/>
    <w:rsid w:val="00F03531"/>
    <w:rsid w:val="00F039D7"/>
    <w:rsid w:val="00F04A12"/>
    <w:rsid w:val="00F04B34"/>
    <w:rsid w:val="00F04D2B"/>
    <w:rsid w:val="00F06595"/>
    <w:rsid w:val="00F06B3F"/>
    <w:rsid w:val="00F102D4"/>
    <w:rsid w:val="00F104F5"/>
    <w:rsid w:val="00F10D29"/>
    <w:rsid w:val="00F11833"/>
    <w:rsid w:val="00F11FA4"/>
    <w:rsid w:val="00F13A4B"/>
    <w:rsid w:val="00F13EC3"/>
    <w:rsid w:val="00F1478E"/>
    <w:rsid w:val="00F147FB"/>
    <w:rsid w:val="00F1496B"/>
    <w:rsid w:val="00F14AB6"/>
    <w:rsid w:val="00F15E9E"/>
    <w:rsid w:val="00F16003"/>
    <w:rsid w:val="00F16B37"/>
    <w:rsid w:val="00F17213"/>
    <w:rsid w:val="00F17FF4"/>
    <w:rsid w:val="00F21055"/>
    <w:rsid w:val="00F213AF"/>
    <w:rsid w:val="00F214E9"/>
    <w:rsid w:val="00F215FA"/>
    <w:rsid w:val="00F2253B"/>
    <w:rsid w:val="00F24DF5"/>
    <w:rsid w:val="00F251AA"/>
    <w:rsid w:val="00F25684"/>
    <w:rsid w:val="00F27417"/>
    <w:rsid w:val="00F3029B"/>
    <w:rsid w:val="00F30BA7"/>
    <w:rsid w:val="00F318A1"/>
    <w:rsid w:val="00F32FAB"/>
    <w:rsid w:val="00F33539"/>
    <w:rsid w:val="00F33BD3"/>
    <w:rsid w:val="00F34E98"/>
    <w:rsid w:val="00F35260"/>
    <w:rsid w:val="00F3548F"/>
    <w:rsid w:val="00F3675B"/>
    <w:rsid w:val="00F37A8C"/>
    <w:rsid w:val="00F37DEC"/>
    <w:rsid w:val="00F427B1"/>
    <w:rsid w:val="00F4290A"/>
    <w:rsid w:val="00F44595"/>
    <w:rsid w:val="00F463D0"/>
    <w:rsid w:val="00F469AA"/>
    <w:rsid w:val="00F47534"/>
    <w:rsid w:val="00F50DF5"/>
    <w:rsid w:val="00F51D70"/>
    <w:rsid w:val="00F527B7"/>
    <w:rsid w:val="00F53999"/>
    <w:rsid w:val="00F55AE2"/>
    <w:rsid w:val="00F567AF"/>
    <w:rsid w:val="00F56FA8"/>
    <w:rsid w:val="00F5736D"/>
    <w:rsid w:val="00F57395"/>
    <w:rsid w:val="00F57415"/>
    <w:rsid w:val="00F6131F"/>
    <w:rsid w:val="00F61DE3"/>
    <w:rsid w:val="00F6242B"/>
    <w:rsid w:val="00F64C05"/>
    <w:rsid w:val="00F657F5"/>
    <w:rsid w:val="00F67B31"/>
    <w:rsid w:val="00F702D1"/>
    <w:rsid w:val="00F70809"/>
    <w:rsid w:val="00F71602"/>
    <w:rsid w:val="00F727B3"/>
    <w:rsid w:val="00F733BA"/>
    <w:rsid w:val="00F7401B"/>
    <w:rsid w:val="00F74A25"/>
    <w:rsid w:val="00F7587E"/>
    <w:rsid w:val="00F76392"/>
    <w:rsid w:val="00F7688E"/>
    <w:rsid w:val="00F778BA"/>
    <w:rsid w:val="00F7797D"/>
    <w:rsid w:val="00F779F6"/>
    <w:rsid w:val="00F808DC"/>
    <w:rsid w:val="00F823D8"/>
    <w:rsid w:val="00F828A1"/>
    <w:rsid w:val="00F82C02"/>
    <w:rsid w:val="00F8317D"/>
    <w:rsid w:val="00F854CA"/>
    <w:rsid w:val="00F8596E"/>
    <w:rsid w:val="00F865BA"/>
    <w:rsid w:val="00F906E0"/>
    <w:rsid w:val="00F945E3"/>
    <w:rsid w:val="00F94A94"/>
    <w:rsid w:val="00F94FB2"/>
    <w:rsid w:val="00F95558"/>
    <w:rsid w:val="00F9559C"/>
    <w:rsid w:val="00F96A11"/>
    <w:rsid w:val="00F97238"/>
    <w:rsid w:val="00F97666"/>
    <w:rsid w:val="00FA19BB"/>
    <w:rsid w:val="00FA2F7E"/>
    <w:rsid w:val="00FA3005"/>
    <w:rsid w:val="00FA3B4D"/>
    <w:rsid w:val="00FA4F73"/>
    <w:rsid w:val="00FA64DD"/>
    <w:rsid w:val="00FA6683"/>
    <w:rsid w:val="00FA7E36"/>
    <w:rsid w:val="00FB1663"/>
    <w:rsid w:val="00FB685E"/>
    <w:rsid w:val="00FB72BF"/>
    <w:rsid w:val="00FB779E"/>
    <w:rsid w:val="00FC2144"/>
    <w:rsid w:val="00FC26AD"/>
    <w:rsid w:val="00FC2EC7"/>
    <w:rsid w:val="00FC3AF1"/>
    <w:rsid w:val="00FC6AE2"/>
    <w:rsid w:val="00FD0C05"/>
    <w:rsid w:val="00FD0FEE"/>
    <w:rsid w:val="00FD10D7"/>
    <w:rsid w:val="00FD2B19"/>
    <w:rsid w:val="00FD49A2"/>
    <w:rsid w:val="00FD4AC3"/>
    <w:rsid w:val="00FD750C"/>
    <w:rsid w:val="00FE19A5"/>
    <w:rsid w:val="00FE39AE"/>
    <w:rsid w:val="00FE3F22"/>
    <w:rsid w:val="00FE4038"/>
    <w:rsid w:val="00FE54A9"/>
    <w:rsid w:val="00FE6531"/>
    <w:rsid w:val="00FE6643"/>
    <w:rsid w:val="00FF171C"/>
    <w:rsid w:val="00FF4113"/>
    <w:rsid w:val="00FF4B78"/>
    <w:rsid w:val="00FF598B"/>
    <w:rsid w:val="00FF5F49"/>
    <w:rsid w:val="00FF60A9"/>
    <w:rsid w:val="00FF7029"/>
    <w:rsid w:val="00FF7C2F"/>
    <w:rsid w:val="00FF7ECC"/>
    <w:rsid w:val="18380CFA"/>
    <w:rsid w:val="23594647"/>
    <w:rsid w:val="2D9D3AC0"/>
    <w:rsid w:val="3BBB5737"/>
    <w:rsid w:val="4D4F0436"/>
    <w:rsid w:val="5FAA4DD4"/>
    <w:rsid w:val="65BB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1"/>
    <w:qFormat/>
    <w:uiPriority w:val="0"/>
    <w:pPr>
      <w:keepNext/>
      <w:keepLines/>
      <w:widowControl w:val="0"/>
      <w:numPr>
        <w:ilvl w:val="0"/>
        <w:numId w:val="1"/>
      </w:numPr>
      <w:spacing w:before="340" w:after="330" w:line="576" w:lineRule="auto"/>
      <w:jc w:val="both"/>
      <w:outlineLvl w:val="0"/>
    </w:pPr>
    <w:rPr>
      <w:rFonts w:ascii="黑体" w:hAnsi="黑体" w:eastAsia="黑体" w:cs="Times New Roman"/>
      <w:b/>
      <w:bCs/>
      <w:kern w:val="44"/>
      <w:sz w:val="32"/>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caption"/>
    <w:basedOn w:val="1"/>
    <w:next w:val="1"/>
    <w:qFormat/>
    <w:uiPriority w:val="0"/>
    <w:pPr>
      <w:widowControl w:val="0"/>
      <w:spacing w:line="240" w:lineRule="auto"/>
      <w:jc w:val="center"/>
    </w:pPr>
    <w:rPr>
      <w:rFonts w:ascii="Arial Unicode MS" w:hAnsi="Arial Unicode MS" w:eastAsia="Arial Unicode MS" w:cs="Times New Roman"/>
      <w:b/>
      <w:bCs/>
      <w:kern w:val="2"/>
      <w:sz w:val="20"/>
      <w:szCs w:val="18"/>
    </w:rPr>
  </w:style>
  <w:style w:type="paragraph" w:styleId="6">
    <w:name w:val="annotation text"/>
    <w:basedOn w:val="1"/>
    <w:link w:val="33"/>
    <w:unhideWhenUsed/>
    <w:qFormat/>
    <w:uiPriority w:val="0"/>
  </w:style>
  <w:style w:type="paragraph" w:styleId="7">
    <w:name w:val="Body Text"/>
    <w:basedOn w:val="1"/>
    <w:link w:val="43"/>
    <w:unhideWhenUsed/>
    <w:qFormat/>
    <w:uiPriority w:val="99"/>
    <w:pPr>
      <w:spacing w:after="120"/>
    </w:pPr>
  </w:style>
  <w:style w:type="paragraph" w:styleId="8">
    <w:name w:val="Balloon Text"/>
    <w:basedOn w:val="1"/>
    <w:link w:val="28"/>
    <w:semiHidden/>
    <w:unhideWhenUsed/>
    <w:uiPriority w:val="99"/>
    <w:pPr>
      <w:spacing w:after="0" w:line="240" w:lineRule="auto"/>
    </w:pPr>
    <w:rPr>
      <w:sz w:val="18"/>
      <w:szCs w:val="18"/>
    </w:rPr>
  </w:style>
  <w:style w:type="paragraph" w:styleId="9">
    <w:name w:val="footer"/>
    <w:basedOn w:val="1"/>
    <w:link w:val="24"/>
    <w:unhideWhenUsed/>
    <w:qFormat/>
    <w:uiPriority w:val="99"/>
    <w:pPr>
      <w:tabs>
        <w:tab w:val="center" w:pos="4680"/>
        <w:tab w:val="right" w:pos="9360"/>
      </w:tabs>
      <w:spacing w:after="0" w:line="240" w:lineRule="auto"/>
    </w:pPr>
  </w:style>
  <w:style w:type="paragraph" w:styleId="10">
    <w:name w:val="header"/>
    <w:basedOn w:val="1"/>
    <w:link w:val="23"/>
    <w:unhideWhenUsed/>
    <w:qFormat/>
    <w:uiPriority w:val="99"/>
    <w:pPr>
      <w:tabs>
        <w:tab w:val="center" w:pos="4680"/>
        <w:tab w:val="right" w:pos="9360"/>
      </w:tabs>
      <w:spacing w:after="0" w:line="240" w:lineRule="auto"/>
    </w:pPr>
  </w:style>
  <w:style w:type="paragraph" w:styleId="11">
    <w:name w:val="footnote text"/>
    <w:basedOn w:val="1"/>
    <w:link w:val="36"/>
    <w:semiHidden/>
    <w:unhideWhenUsed/>
    <w:qFormat/>
    <w:uiPriority w:val="99"/>
    <w:pPr>
      <w:snapToGrid w:val="0"/>
    </w:pPr>
    <w:rPr>
      <w:sz w:val="18"/>
      <w:szCs w:val="18"/>
    </w:rPr>
  </w:style>
  <w:style w:type="paragraph" w:styleId="12">
    <w:name w:val="Normal (Web)"/>
    <w:basedOn w:val="1"/>
    <w:semiHidden/>
    <w:unhideWhenUsed/>
    <w:uiPriority w:val="99"/>
    <w:pPr>
      <w:spacing w:before="100" w:beforeAutospacing="1" w:after="100" w:afterAutospacing="1" w:line="240" w:lineRule="auto"/>
    </w:pPr>
    <w:rPr>
      <w:rFonts w:ascii="宋体" w:hAnsi="宋体" w:eastAsia="宋体" w:cs="宋体"/>
      <w:sz w:val="24"/>
      <w:szCs w:val="24"/>
    </w:rPr>
  </w:style>
  <w:style w:type="paragraph" w:styleId="13">
    <w:name w:val="annotation subject"/>
    <w:basedOn w:val="6"/>
    <w:next w:val="6"/>
    <w:link w:val="34"/>
    <w:semiHidden/>
    <w:unhideWhenUsed/>
    <w:qFormat/>
    <w:uiPriority w:val="99"/>
    <w:rPr>
      <w:b/>
      <w:bCs/>
    </w:rPr>
  </w:style>
  <w:style w:type="paragraph" w:styleId="14">
    <w:name w:val="Body Text First Indent"/>
    <w:basedOn w:val="7"/>
    <w:link w:val="44"/>
    <w:unhideWhenUsed/>
    <w:qFormat/>
    <w:uiPriority w:val="99"/>
    <w:pPr>
      <w:ind w:firstLine="420" w:firstLineChars="100"/>
    </w:p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Hyperlink"/>
    <w:basedOn w:val="17"/>
    <w:unhideWhenUsed/>
    <w:qFormat/>
    <w:uiPriority w:val="99"/>
    <w:rPr>
      <w:color w:val="0000FF" w:themeColor="hyperlink"/>
      <w:u w:val="single"/>
    </w:rPr>
  </w:style>
  <w:style w:type="character" w:styleId="19">
    <w:name w:val="annotation reference"/>
    <w:basedOn w:val="17"/>
    <w:semiHidden/>
    <w:unhideWhenUsed/>
    <w:qFormat/>
    <w:uiPriority w:val="0"/>
    <w:rPr>
      <w:sz w:val="21"/>
      <w:szCs w:val="21"/>
    </w:rPr>
  </w:style>
  <w:style w:type="character" w:styleId="20">
    <w:name w:val="footnote reference"/>
    <w:basedOn w:val="17"/>
    <w:semiHidden/>
    <w:unhideWhenUsed/>
    <w:uiPriority w:val="99"/>
    <w:rPr>
      <w:vertAlign w:val="superscript"/>
    </w:rPr>
  </w:style>
  <w:style w:type="character" w:customStyle="1" w:styleId="21">
    <w:name w:val="标题 1 字符"/>
    <w:basedOn w:val="17"/>
    <w:link w:val="2"/>
    <w:qFormat/>
    <w:uiPriority w:val="0"/>
    <w:rPr>
      <w:rFonts w:ascii="黑体" w:hAnsi="黑体" w:eastAsia="黑体" w:cs="Times New Roman"/>
      <w:b/>
      <w:bCs/>
      <w:kern w:val="44"/>
      <w:sz w:val="32"/>
      <w:szCs w:val="44"/>
    </w:rPr>
  </w:style>
  <w:style w:type="character" w:customStyle="1" w:styleId="22">
    <w:name w:val="标题 2 字符"/>
    <w:basedOn w:val="17"/>
    <w:link w:val="3"/>
    <w:qFormat/>
    <w:uiPriority w:val="9"/>
    <w:rPr>
      <w:rFonts w:asciiTheme="majorHAnsi" w:hAnsiTheme="majorHAnsi" w:eastAsiaTheme="majorEastAsia" w:cstheme="majorBidi"/>
      <w:b/>
      <w:bCs/>
      <w:sz w:val="32"/>
      <w:szCs w:val="32"/>
    </w:rPr>
  </w:style>
  <w:style w:type="character" w:customStyle="1" w:styleId="23">
    <w:name w:val="页眉 字符"/>
    <w:basedOn w:val="17"/>
    <w:link w:val="10"/>
    <w:uiPriority w:val="99"/>
  </w:style>
  <w:style w:type="character" w:customStyle="1" w:styleId="24">
    <w:name w:val="页脚 字符"/>
    <w:basedOn w:val="17"/>
    <w:link w:val="9"/>
    <w:uiPriority w:val="99"/>
  </w:style>
  <w:style w:type="paragraph" w:styleId="25">
    <w:name w:val="List Paragraph"/>
    <w:basedOn w:val="1"/>
    <w:qFormat/>
    <w:uiPriority w:val="34"/>
    <w:pPr>
      <w:ind w:firstLine="420" w:firstLineChars="200"/>
    </w:pPr>
  </w:style>
  <w:style w:type="paragraph" w:customStyle="1" w:styleId="26">
    <w:name w:val="正文1"/>
    <w:basedOn w:val="1"/>
    <w:link w:val="27"/>
    <w:qFormat/>
    <w:uiPriority w:val="0"/>
    <w:pPr>
      <w:spacing w:after="240" w:line="480" w:lineRule="exact"/>
      <w:ind w:firstLine="200" w:firstLineChars="200"/>
    </w:pPr>
    <w:rPr>
      <w:rFonts w:ascii="仿宋" w:hAnsi="仿宋" w:eastAsia="仿宋" w:cs="Times New Roman"/>
      <w:sz w:val="28"/>
      <w:szCs w:val="24"/>
    </w:rPr>
  </w:style>
  <w:style w:type="character" w:customStyle="1" w:styleId="27">
    <w:name w:val="正文1 Char"/>
    <w:link w:val="26"/>
    <w:qFormat/>
    <w:uiPriority w:val="0"/>
    <w:rPr>
      <w:rFonts w:ascii="仿宋" w:hAnsi="仿宋" w:eastAsia="仿宋" w:cs="Times New Roman"/>
      <w:sz w:val="28"/>
      <w:szCs w:val="24"/>
    </w:rPr>
  </w:style>
  <w:style w:type="character" w:customStyle="1" w:styleId="28">
    <w:name w:val="批注框文本 字符"/>
    <w:basedOn w:val="17"/>
    <w:link w:val="8"/>
    <w:semiHidden/>
    <w:qFormat/>
    <w:uiPriority w:val="99"/>
    <w:rPr>
      <w:sz w:val="18"/>
      <w:szCs w:val="18"/>
    </w:rPr>
  </w:style>
  <w:style w:type="paragraph" w:customStyle="1" w:styleId="29">
    <w:name w:val="正文内容"/>
    <w:basedOn w:val="1"/>
    <w:link w:val="30"/>
    <w:qFormat/>
    <w:uiPriority w:val="0"/>
    <w:pPr>
      <w:spacing w:afterLines="100"/>
      <w:ind w:firstLine="640" w:firstLineChars="200"/>
      <w:outlineLvl w:val="1"/>
    </w:pPr>
    <w:rPr>
      <w:rFonts w:ascii="仿宋_GB2312" w:hAnsi="黑体" w:eastAsia="仿宋_GB2312" w:cs="Arial"/>
      <w:sz w:val="32"/>
      <w:szCs w:val="32"/>
    </w:rPr>
  </w:style>
  <w:style w:type="character" w:customStyle="1" w:styleId="30">
    <w:name w:val="正文内容 Char"/>
    <w:basedOn w:val="17"/>
    <w:link w:val="29"/>
    <w:qFormat/>
    <w:uiPriority w:val="0"/>
    <w:rPr>
      <w:rFonts w:ascii="仿宋_GB2312" w:hAnsi="黑体" w:eastAsia="仿宋_GB2312" w:cs="Arial"/>
      <w:sz w:val="32"/>
      <w:szCs w:val="32"/>
    </w:rPr>
  </w:style>
  <w:style w:type="paragraph" w:customStyle="1" w:styleId="31">
    <w:name w:val="ab"/>
    <w:basedOn w:val="29"/>
    <w:link w:val="32"/>
    <w:qFormat/>
    <w:uiPriority w:val="0"/>
    <w:pPr>
      <w:spacing w:line="360" w:lineRule="auto"/>
      <w:outlineLvl w:val="9"/>
    </w:pPr>
    <w:rPr>
      <w:rFonts w:ascii="Times New Roman" w:hAnsi="Times New Roman"/>
      <w:sz w:val="28"/>
    </w:rPr>
  </w:style>
  <w:style w:type="character" w:customStyle="1" w:styleId="32">
    <w:name w:val="ab Char"/>
    <w:basedOn w:val="30"/>
    <w:link w:val="31"/>
    <w:uiPriority w:val="0"/>
    <w:rPr>
      <w:rFonts w:ascii="Times New Roman" w:hAnsi="Times New Roman" w:eastAsia="仿宋_GB2312" w:cs="Arial"/>
      <w:sz w:val="28"/>
      <w:szCs w:val="32"/>
    </w:rPr>
  </w:style>
  <w:style w:type="character" w:customStyle="1" w:styleId="33">
    <w:name w:val="批注文字 字符"/>
    <w:basedOn w:val="17"/>
    <w:link w:val="6"/>
    <w:qFormat/>
    <w:uiPriority w:val="99"/>
  </w:style>
  <w:style w:type="character" w:customStyle="1" w:styleId="34">
    <w:name w:val="批注主题 字符"/>
    <w:basedOn w:val="33"/>
    <w:link w:val="13"/>
    <w:semiHidden/>
    <w:qFormat/>
    <w:uiPriority w:val="99"/>
    <w:rPr>
      <w:b/>
      <w:bCs/>
    </w:rPr>
  </w:style>
  <w:style w:type="paragraph" w:customStyle="1" w:styleId="35">
    <w:name w:val="修订1"/>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36">
    <w:name w:val="脚注文本 字符"/>
    <w:basedOn w:val="17"/>
    <w:link w:val="11"/>
    <w:semiHidden/>
    <w:qFormat/>
    <w:uiPriority w:val="99"/>
    <w:rPr>
      <w:sz w:val="18"/>
      <w:szCs w:val="18"/>
    </w:rPr>
  </w:style>
  <w:style w:type="paragraph" w:customStyle="1" w:styleId="37">
    <w:name w:val="一级标题"/>
    <w:basedOn w:val="25"/>
    <w:qFormat/>
    <w:uiPriority w:val="0"/>
    <w:pPr>
      <w:wordWrap w:val="0"/>
      <w:spacing w:after="0" w:line="360" w:lineRule="auto"/>
      <w:ind w:firstLine="560"/>
      <w:outlineLvl w:val="1"/>
    </w:pPr>
    <w:rPr>
      <w:rFonts w:ascii="Times New Roman" w:hAnsi="Times New Roman" w:eastAsia="黑体" w:cs="Times New Roman"/>
      <w:sz w:val="28"/>
      <w:szCs w:val="28"/>
    </w:rPr>
  </w:style>
  <w:style w:type="paragraph" w:customStyle="1" w:styleId="38">
    <w:name w:val="二级标题"/>
    <w:basedOn w:val="1"/>
    <w:qFormat/>
    <w:uiPriority w:val="0"/>
    <w:pPr>
      <w:wordWrap w:val="0"/>
      <w:spacing w:after="0" w:line="360" w:lineRule="auto"/>
      <w:ind w:firstLine="562" w:firstLineChars="200"/>
      <w:outlineLvl w:val="2"/>
    </w:pPr>
    <w:rPr>
      <w:rFonts w:eastAsia="楷体_GB2312"/>
      <w:b/>
      <w:sz w:val="28"/>
      <w:szCs w:val="28"/>
    </w:rPr>
  </w:style>
  <w:style w:type="paragraph" w:customStyle="1" w:styleId="39">
    <w:name w:val="三级标题"/>
    <w:basedOn w:val="31"/>
    <w:qFormat/>
    <w:uiPriority w:val="0"/>
    <w:pPr>
      <w:wordWrap w:val="0"/>
      <w:spacing w:afterLines="0"/>
      <w:ind w:firstLine="562"/>
      <w:outlineLvl w:val="3"/>
    </w:pPr>
    <w:rPr>
      <w:b/>
    </w:rPr>
  </w:style>
  <w:style w:type="paragraph" w:customStyle="1" w:styleId="40">
    <w:name w:val="正文文档"/>
    <w:basedOn w:val="31"/>
    <w:qFormat/>
    <w:uiPriority w:val="0"/>
    <w:pPr>
      <w:wordWrap w:val="0"/>
      <w:spacing w:afterLines="0"/>
      <w:ind w:firstLine="560"/>
    </w:pPr>
  </w:style>
  <w:style w:type="paragraph" w:customStyle="1" w:styleId="41">
    <w:name w:val="四级标题"/>
    <w:basedOn w:val="31"/>
    <w:qFormat/>
    <w:uiPriority w:val="0"/>
    <w:pPr>
      <w:wordWrap w:val="0"/>
      <w:spacing w:afterLines="0"/>
      <w:ind w:firstLine="560"/>
    </w:pPr>
  </w:style>
  <w:style w:type="paragraph" w:customStyle="1" w:styleId="42">
    <w:name w:val="五级标题"/>
    <w:basedOn w:val="31"/>
    <w:qFormat/>
    <w:uiPriority w:val="0"/>
    <w:pPr>
      <w:wordWrap w:val="0"/>
      <w:spacing w:afterLines="0"/>
      <w:ind w:firstLine="560"/>
    </w:pPr>
  </w:style>
  <w:style w:type="character" w:customStyle="1" w:styleId="43">
    <w:name w:val="正文文本 字符"/>
    <w:basedOn w:val="17"/>
    <w:link w:val="7"/>
    <w:uiPriority w:val="99"/>
  </w:style>
  <w:style w:type="character" w:customStyle="1" w:styleId="44">
    <w:name w:val="正文文本首行缩进 字符"/>
    <w:basedOn w:val="43"/>
    <w:link w:val="14"/>
    <w:qFormat/>
    <w:uiPriority w:val="99"/>
  </w:style>
  <w:style w:type="character" w:customStyle="1" w:styleId="45">
    <w:name w:val="段 Char"/>
    <w:basedOn w:val="17"/>
    <w:link w:val="46"/>
    <w:qFormat/>
    <w:uiPriority w:val="0"/>
    <w:rPr>
      <w:rFonts w:ascii="宋体"/>
    </w:rPr>
  </w:style>
  <w:style w:type="paragraph" w:customStyle="1" w:styleId="46">
    <w:name w:val="段"/>
    <w:link w:val="45"/>
    <w:qFormat/>
    <w:uiPriority w:val="0"/>
    <w:pPr>
      <w:tabs>
        <w:tab w:val="center" w:pos="4201"/>
        <w:tab w:val="right" w:leader="dot" w:pos="9298"/>
      </w:tabs>
      <w:autoSpaceDE w:val="0"/>
      <w:autoSpaceDN w:val="0"/>
      <w:spacing w:after="0" w:line="240" w:lineRule="auto"/>
      <w:ind w:firstLine="420" w:firstLineChars="200"/>
      <w:jc w:val="both"/>
    </w:pPr>
    <w:rPr>
      <w:rFonts w:ascii="宋体"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B2CEB-E1DA-42F1-AED2-247A3CCF9FF7}">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31</Pages>
  <Words>2835</Words>
  <Characters>16162</Characters>
  <Lines>134</Lines>
  <Paragraphs>37</Paragraphs>
  <TotalTime>59</TotalTime>
  <ScaleCrop>false</ScaleCrop>
  <LinksUpToDate>false</LinksUpToDate>
  <CharactersWithSpaces>18960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2021-01-31T10:53:00Z</dcterms:created>
  <dc:creator>PwC Cherry Q Chen</dc:creator>
  <cp:lastModifiedBy>xy</cp:lastModifiedBy>
  <cp:lastPrinted>2015-12-30T12:28:00Z</cp:lastPrinted>
  <dcterms:modified xsi:type="dcterms:W3CDTF">2021-03-18T03:11:38Z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